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409A" w14:textId="77777777" w:rsidR="00F96694" w:rsidRPr="00F96694" w:rsidRDefault="00F96694" w:rsidP="00F96694">
      <w:pPr>
        <w:pStyle w:val="a3"/>
        <w:spacing w:before="0" w:beforeAutospacing="0" w:after="0" w:afterAutospacing="0" w:line="520" w:lineRule="exact"/>
        <w:jc w:val="center"/>
        <w:rPr>
          <w:rStyle w:val="a4"/>
          <w:rFonts w:ascii="Helvetica" w:hAnsi="Helvetica" w:cs="Helvetica"/>
          <w:color w:val="666666"/>
          <w:sz w:val="36"/>
          <w:szCs w:val="36"/>
        </w:rPr>
      </w:pPr>
      <w:r w:rsidRPr="00F96694">
        <w:rPr>
          <w:rStyle w:val="a4"/>
          <w:rFonts w:ascii="Helvetica" w:hAnsi="Helvetica" w:cs="Helvetica" w:hint="eastAsia"/>
          <w:color w:val="666666"/>
          <w:sz w:val="36"/>
          <w:szCs w:val="36"/>
        </w:rPr>
        <w:t>中国房地产业协会</w:t>
      </w:r>
    </w:p>
    <w:p w14:paraId="65B5C545" w14:textId="22453A39" w:rsidR="00F96694" w:rsidRPr="00F96694" w:rsidRDefault="00F96694" w:rsidP="00F96694">
      <w:pPr>
        <w:pStyle w:val="a3"/>
        <w:spacing w:before="0" w:beforeAutospacing="0" w:after="0" w:afterAutospacing="0" w:line="520" w:lineRule="exact"/>
        <w:jc w:val="center"/>
        <w:rPr>
          <w:rStyle w:val="a4"/>
          <w:rFonts w:ascii="Helvetica" w:hAnsi="Helvetica" w:cs="Helvetica"/>
          <w:color w:val="666666"/>
          <w:sz w:val="36"/>
          <w:szCs w:val="36"/>
        </w:rPr>
      </w:pPr>
      <w:r w:rsidRPr="00F96694">
        <w:rPr>
          <w:rStyle w:val="a4"/>
          <w:rFonts w:ascii="Helvetica" w:hAnsi="Helvetica" w:cs="Helvetica" w:hint="eastAsia"/>
          <w:color w:val="666666"/>
          <w:sz w:val="36"/>
          <w:szCs w:val="36"/>
        </w:rPr>
        <w:t>房地产开发企业信用评价管理办法</w:t>
      </w:r>
    </w:p>
    <w:p w14:paraId="70AD74B5" w14:textId="2AC514A5" w:rsidR="009B026D" w:rsidRDefault="009B026D" w:rsidP="00F96694">
      <w:pPr>
        <w:pStyle w:val="a3"/>
        <w:spacing w:before="0" w:beforeAutospacing="0" w:after="0" w:afterAutospacing="0" w:line="520" w:lineRule="exact"/>
        <w:jc w:val="center"/>
        <w:rPr>
          <w:rFonts w:ascii="Helvetica" w:hAnsi="Helvetica" w:cs="Helvetica"/>
          <w:color w:val="666666"/>
        </w:rPr>
      </w:pPr>
      <w:r>
        <w:rPr>
          <w:rStyle w:val="a4"/>
          <w:rFonts w:ascii="Helvetica" w:hAnsi="Helvetica" w:cs="Helvetica"/>
          <w:color w:val="666666"/>
        </w:rPr>
        <w:t>（</w:t>
      </w:r>
      <w:r>
        <w:rPr>
          <w:rStyle w:val="a4"/>
          <w:rFonts w:ascii="Helvetica" w:hAnsi="Helvetica" w:cs="Helvetica"/>
          <w:color w:val="666666"/>
        </w:rPr>
        <w:t>2022</w:t>
      </w:r>
      <w:r>
        <w:rPr>
          <w:rStyle w:val="a4"/>
          <w:rFonts w:ascii="Helvetica" w:hAnsi="Helvetica" w:cs="Helvetica"/>
          <w:color w:val="666666"/>
        </w:rPr>
        <w:t>年修订稿）</w:t>
      </w:r>
    </w:p>
    <w:p w14:paraId="49633771" w14:textId="7D16F696"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第一章</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总</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则</w:t>
      </w:r>
    </w:p>
    <w:p w14:paraId="7E52D545" w14:textId="6ECB03A2" w:rsidR="009B026D" w:rsidRPr="00F96694" w:rsidRDefault="009B026D" w:rsidP="00F96694">
      <w:pPr>
        <w:pStyle w:val="a3"/>
        <w:spacing w:before="0" w:beforeAutospacing="0" w:after="0" w:afterAutospacing="0" w:line="520" w:lineRule="exact"/>
        <w:ind w:firstLineChars="200" w:firstLine="562"/>
        <w:rPr>
          <w:rFonts w:ascii="仿宋" w:eastAsia="仿宋" w:hAnsi="仿宋" w:cs="Helvetica"/>
          <w:color w:val="666666"/>
          <w:sz w:val="28"/>
          <w:szCs w:val="28"/>
        </w:rPr>
      </w:pPr>
      <w:r w:rsidRPr="00F96694">
        <w:rPr>
          <w:rFonts w:ascii="仿宋" w:eastAsia="仿宋" w:hAnsi="仿宋" w:cs="Helvetica"/>
          <w:b/>
          <w:bCs/>
          <w:color w:val="666666"/>
          <w:sz w:val="28"/>
          <w:szCs w:val="28"/>
        </w:rPr>
        <w:t>第一条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为贯彻落实国家关于推动社会信用体系高质量发展的决策部署，加强房地产行业信用体系建设，完善行业信用制度，营造行业良好信用环境，中国房地产业协会（以下简称“中国房协”）组织开展房地产开发企业信用评价工作（以下简称“信用评价工作”），制定本办法。</w:t>
      </w:r>
    </w:p>
    <w:p w14:paraId="4ACCB57F" w14:textId="19214245"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本办法所称的房地产开发企业，是指依法设立的、以房地产开发与经营业务作为主营业务且取得房地产开发资质的、具有企业法人资格的经济实体。</w:t>
      </w:r>
    </w:p>
    <w:p w14:paraId="2A5BA5AD" w14:textId="0B21859F"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第三条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信用评价工作的目的：推进房地产行业信用体系建设，引导房地产开发企业诚信自律，增强信用意识，提高信用管理水平和风险防控能力，强化行业信用约束和信用监督，促进行业规范健康持续发展。</w:t>
      </w:r>
    </w:p>
    <w:p w14:paraId="18EF9DD7" w14:textId="52D2116B"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第四条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信用评价工作遵循自愿、公开、公平、公正的原则，委托第三方评价机构进行评价，保证评价结果的权威性和公信力。</w:t>
      </w:r>
    </w:p>
    <w:p w14:paraId="3B86F93A" w14:textId="60F68AC2"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第五条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信用评价工作在中国房协和各省、自治区、直辖市房地产业协会（开发协会）房协的会员中开展，每年组织开展一次。</w:t>
      </w:r>
    </w:p>
    <w:p w14:paraId="441401C8" w14:textId="74FECB5B"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 xml:space="preserve">第二章 </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组织机构及职责</w:t>
      </w:r>
    </w:p>
    <w:p w14:paraId="4E953C15" w14:textId="3964E4F0"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第六条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为加强信用评价工作管理，设立中国房协信用建设管理委员会，由中国房协主要领导、行业权威专家和相关部门负责人组成。主要职责是：研究行业信用制度建设；制定行业信用建设发展规划和目标；制定行业信用建设工作事项和内容；制定信用评价</w:t>
      </w:r>
      <w:r w:rsidRPr="00F96694">
        <w:rPr>
          <w:rFonts w:ascii="仿宋" w:eastAsia="仿宋" w:hAnsi="仿宋" w:cs="Helvetica"/>
          <w:color w:val="666666"/>
          <w:sz w:val="28"/>
          <w:szCs w:val="28"/>
        </w:rPr>
        <w:lastRenderedPageBreak/>
        <w:t>工作管理办法、评价标准和实施细则；审定和公布信用评价结果、信用等级企业动态监测结果；审定第三方评价机构招标选取等。</w:t>
      </w:r>
    </w:p>
    <w:p w14:paraId="4E2ED715" w14:textId="7B7A52C5"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第七条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设立中国房协信用建设专家委员会，由中国房协主要领导、行业权威专家和相关部门负责人组成。主要职责是：参与研究行业信用制度建设；指导行业信用建设工作开展；为行业信用建设工作</w:t>
      </w:r>
      <w:proofErr w:type="gramStart"/>
      <w:r w:rsidRPr="00F96694">
        <w:rPr>
          <w:rFonts w:ascii="仿宋" w:eastAsia="仿宋" w:hAnsi="仿宋" w:cs="Helvetica"/>
          <w:color w:val="666666"/>
          <w:sz w:val="28"/>
          <w:szCs w:val="28"/>
        </w:rPr>
        <w:t>提供智库支持</w:t>
      </w:r>
      <w:proofErr w:type="gramEnd"/>
      <w:r w:rsidRPr="00F96694">
        <w:rPr>
          <w:rFonts w:ascii="仿宋" w:eastAsia="仿宋" w:hAnsi="仿宋" w:cs="Helvetica"/>
          <w:color w:val="666666"/>
          <w:sz w:val="28"/>
          <w:szCs w:val="28"/>
        </w:rPr>
        <w:t>；参与制定信用评价标准、工作制度；审议信用评价结果和信用等级企业动态监测结果及评价中的异议问题；为推动行业信用体系建设提出意见和建议等。</w:t>
      </w:r>
    </w:p>
    <w:p w14:paraId="75FE1838" w14:textId="2D5EE03C"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第八条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设立中国房协信用建设办公室，负责行业信用体系建设、制度建设、信用信息管理、信用评价等日常工作；负责联系各省、自治区、直辖市房地产业协会（开发协会）组织本地区房地产开发企业参加信用评价工作。</w:t>
      </w:r>
    </w:p>
    <w:p w14:paraId="2FF40326" w14:textId="623C4179"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第九条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委托第三方评价机构实施评价工作。第三方评价机构通过招标方式选取。招标条件为：获得省、部级（含计划单列市）以上政府信用评级主管部门认可；从事过房地产及相关行业的信用评价工作，有较高的社会信誉度；工作费用收费合理。</w:t>
      </w:r>
    </w:p>
    <w:p w14:paraId="3F298460" w14:textId="6DCC4D6E"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 xml:space="preserve">第三章 </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信用等级及期限</w:t>
      </w:r>
    </w:p>
    <w:p w14:paraId="36C819DD" w14:textId="4F51B203"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信用评价工作按照中国房地产业协会《房地产开发企业信用评价标准》（T/CREA011-2022）对房地产开发企业进行评价。</w:t>
      </w:r>
    </w:p>
    <w:p w14:paraId="3594F599" w14:textId="4D26C248"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第十一条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房地产开发企业信用等级分为三等（A、B、C）五级（AAA、AA、A、B、C）。</w:t>
      </w:r>
    </w:p>
    <w:p w14:paraId="2E9EBEE8" w14:textId="08B7A809"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A等表明企业信用较好，B等表明企业信用一般，C等表明企业信用存在较多问题。其中：AAA级：信用很好；AA级：信用良好；A级：信用较好；B级：信用一般；C级：信用差。</w:t>
      </w:r>
    </w:p>
    <w:p w14:paraId="1B0E9955" w14:textId="5A1A1CA8"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第十二条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信用等级划分标准为：</w:t>
      </w:r>
    </w:p>
    <w:p w14:paraId="1A1D1D8F" w14:textId="6D0401A5"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lastRenderedPageBreak/>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AAA级信用企业：评价得分在90分（含）以上；</w:t>
      </w:r>
    </w:p>
    <w:p w14:paraId="6A03BBF5" w14:textId="61CD8BED"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AA级信用企业：评价得分满80分，不足90分；</w:t>
      </w:r>
    </w:p>
    <w:p w14:paraId="2C4E8B02" w14:textId="346802A1"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A级信用企业：评价得分满70分，不足80分；</w:t>
      </w:r>
    </w:p>
    <w:p w14:paraId="5C379FDF" w14:textId="15E855BD"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B级信用企业：评价得分满60分，不足70分；</w:t>
      </w:r>
    </w:p>
    <w:p w14:paraId="5CFD072D" w14:textId="5F5C74B5"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C级信用企业：评价得分不足60分。</w:t>
      </w:r>
    </w:p>
    <w:p w14:paraId="72092907" w14:textId="226B87AE"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第十三条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信用评价结果自公布之日起计有效期三年。有效期届满后企业信用等级自动失效。企业可申请再次评价，重新确定信用等级。</w:t>
      </w:r>
    </w:p>
    <w:p w14:paraId="6477F005" w14:textId="51C35A0A"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 xml:space="preserve">第四章 </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信用评价工作程序</w:t>
      </w:r>
    </w:p>
    <w:p w14:paraId="683FE108" w14:textId="2D5D488A"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第十四条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申请参评企业应是具有独立法人资格的房地产开发企业（不含项目公司），成立满三年，且近两年房地产业</w:t>
      </w:r>
      <w:proofErr w:type="gramStart"/>
      <w:r w:rsidRPr="00F96694">
        <w:rPr>
          <w:rFonts w:ascii="仿宋" w:eastAsia="仿宋" w:hAnsi="仿宋" w:cs="Helvetica"/>
          <w:color w:val="666666"/>
          <w:sz w:val="28"/>
          <w:szCs w:val="28"/>
        </w:rPr>
        <w:t>务</w:t>
      </w:r>
      <w:proofErr w:type="gramEnd"/>
      <w:r w:rsidRPr="00F96694">
        <w:rPr>
          <w:rFonts w:ascii="仿宋" w:eastAsia="仿宋" w:hAnsi="仿宋" w:cs="Helvetica"/>
          <w:color w:val="666666"/>
          <w:sz w:val="28"/>
          <w:szCs w:val="28"/>
        </w:rPr>
        <w:t>收入不低于总收入的百分之五十。以集团公司申请参评的，须满足跨区域经营（含5个区域以上），同时须对全部区域公司进行评价。中国房协也可根据需要对房地产开发企业信用状况做出自动评价。</w:t>
      </w:r>
    </w:p>
    <w:p w14:paraId="75A8DB5A" w14:textId="1B575E91"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第十五条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申请参评企业登录中房网（www.fangchan.com）-行业信用建设专区“信用信息管理系统”进行申报。</w:t>
      </w:r>
    </w:p>
    <w:p w14:paraId="69F3F7AA" w14:textId="3C3BAAB6"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00F96694" w:rsidRPr="00F96694">
        <w:rPr>
          <w:rFonts w:ascii="仿宋" w:eastAsia="仿宋" w:hAnsi="仿宋" w:cs="Helvetica"/>
          <w:b/>
          <w:bCs/>
          <w:color w:val="666666"/>
          <w:sz w:val="28"/>
          <w:szCs w:val="28"/>
        </w:rPr>
        <w:t xml:space="preserve"> </w:t>
      </w:r>
      <w:r w:rsidRPr="00F96694">
        <w:rPr>
          <w:rFonts w:ascii="仿宋" w:eastAsia="仿宋" w:hAnsi="仿宋" w:cs="Helvetica"/>
          <w:b/>
          <w:bCs/>
          <w:color w:val="666666"/>
          <w:sz w:val="28"/>
          <w:szCs w:val="28"/>
        </w:rPr>
        <w:t>第十六条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各省、自治区、直辖市房地产业协会（开发协会）对本地区参评企业申报材料进行初审，中国房协信用建设办公室复核材料，第三方评价机构对参评企业实地核查。</w:t>
      </w:r>
    </w:p>
    <w:p w14:paraId="4F712B38" w14:textId="59A46D23"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第十七条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中国房协开展信用评价工作不收取任何费用。参评企业需向第三方评价机构支付评价工作费用（包括人工费和服务费）。</w:t>
      </w:r>
    </w:p>
    <w:p w14:paraId="4393E3DA" w14:textId="5AE81DA1"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第十八条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第三方评价机构依据《房地产开发企业信用评价标准》对参评企业评价打分并得出评价结果。集团公司的评价结果由区域公司、集团公司的评价结果按比例合并计算。</w:t>
      </w:r>
    </w:p>
    <w:p w14:paraId="1B98FA3D" w14:textId="4D10D78D"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第十九条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中国房协信用建设专家委员会审议信用评价结果。</w:t>
      </w:r>
    </w:p>
    <w:p w14:paraId="56C4BA0B" w14:textId="44AF9E43"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lastRenderedPageBreak/>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中国房协信用建设管理委员会审定信用评价结果。</w:t>
      </w:r>
    </w:p>
    <w:p w14:paraId="54222790" w14:textId="612EF612"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第二十一条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信用评价结果在公开渠道公示，公示期为7个工作日。公示期内有实名对企业信用评价结果提出异议的，信用建设办公室组织复查，再行确定其信用评价结果。</w:t>
      </w:r>
    </w:p>
    <w:p w14:paraId="3D54AAE9" w14:textId="1C3A6DAF"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公示期结束，在公开渠道正式公布信用等级结果。</w:t>
      </w:r>
    </w:p>
    <w:p w14:paraId="742D8030" w14:textId="49C1D41A"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第二十二条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对获得信用等级A级以上的企业颁发牌匾和证书。</w:t>
      </w:r>
    </w:p>
    <w:p w14:paraId="109B9F96" w14:textId="766D062C"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第二十三条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对成绩突出的各地房协（开发协会）和工作人员予以表彰。</w:t>
      </w:r>
    </w:p>
    <w:p w14:paraId="3D45F191" w14:textId="2FFDC548"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第二十四条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信用等级结果可在</w:t>
      </w:r>
      <w:proofErr w:type="gramStart"/>
      <w:r w:rsidRPr="00F96694">
        <w:rPr>
          <w:rFonts w:ascii="仿宋" w:eastAsia="仿宋" w:hAnsi="仿宋" w:cs="Helvetica"/>
          <w:color w:val="666666"/>
          <w:sz w:val="28"/>
          <w:szCs w:val="28"/>
        </w:rPr>
        <w:t>中房网查询</w:t>
      </w:r>
      <w:proofErr w:type="gramEnd"/>
      <w:r w:rsidRPr="00F96694">
        <w:rPr>
          <w:rFonts w:ascii="仿宋" w:eastAsia="仿宋" w:hAnsi="仿宋" w:cs="Helvetica"/>
          <w:color w:val="666666"/>
          <w:sz w:val="28"/>
          <w:szCs w:val="28"/>
        </w:rPr>
        <w:t>。</w:t>
      </w:r>
    </w:p>
    <w:p w14:paraId="3F512ABB" w14:textId="4E620CD2"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 xml:space="preserve">第五章 </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信用等级企业动态监测</w:t>
      </w:r>
    </w:p>
    <w:p w14:paraId="27E126B8" w14:textId="08033507"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第二十五条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中国房协信用建设办公室、第三方评价机构对信用等级有效期内的企业的信用状况进行动态监测。</w:t>
      </w:r>
    </w:p>
    <w:p w14:paraId="03973212" w14:textId="5607C08D"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动态监测中，若发现企业因失信行为或受到行政处罚或有实名对企业进行投诉举报的，经核实后将视情节轻重对其信用等级进行调整或摘牌。</w:t>
      </w:r>
    </w:p>
    <w:p w14:paraId="5A688C1E" w14:textId="272F28B6"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color w:val="666666"/>
          <w:sz w:val="28"/>
          <w:szCs w:val="28"/>
        </w:rPr>
        <w:t>动态监测中，对司法或行政机关立案尚未</w:t>
      </w:r>
      <w:proofErr w:type="gramStart"/>
      <w:r w:rsidRPr="00F96694">
        <w:rPr>
          <w:rFonts w:ascii="仿宋" w:eastAsia="仿宋" w:hAnsi="仿宋" w:cs="Helvetica"/>
          <w:color w:val="666666"/>
          <w:sz w:val="28"/>
          <w:szCs w:val="28"/>
        </w:rPr>
        <w:t>作出</w:t>
      </w:r>
      <w:proofErr w:type="gramEnd"/>
      <w:r w:rsidRPr="00F96694">
        <w:rPr>
          <w:rFonts w:ascii="仿宋" w:eastAsia="仿宋" w:hAnsi="仿宋" w:cs="Helvetica"/>
          <w:color w:val="666666"/>
          <w:sz w:val="28"/>
          <w:szCs w:val="28"/>
        </w:rPr>
        <w:t>处罚决定的，企业原信用等级暂时中止，</w:t>
      </w:r>
      <w:proofErr w:type="gramStart"/>
      <w:r w:rsidRPr="00F96694">
        <w:rPr>
          <w:rFonts w:ascii="仿宋" w:eastAsia="仿宋" w:hAnsi="仿宋" w:cs="Helvetica"/>
          <w:color w:val="666666"/>
          <w:sz w:val="28"/>
          <w:szCs w:val="28"/>
        </w:rPr>
        <w:t>待司法</w:t>
      </w:r>
      <w:proofErr w:type="gramEnd"/>
      <w:r w:rsidRPr="00F96694">
        <w:rPr>
          <w:rFonts w:ascii="仿宋" w:eastAsia="仿宋" w:hAnsi="仿宋" w:cs="Helvetica"/>
          <w:color w:val="666666"/>
          <w:sz w:val="28"/>
          <w:szCs w:val="28"/>
        </w:rPr>
        <w:t>或行政机关</w:t>
      </w:r>
      <w:proofErr w:type="gramStart"/>
      <w:r w:rsidRPr="00F96694">
        <w:rPr>
          <w:rFonts w:ascii="仿宋" w:eastAsia="仿宋" w:hAnsi="仿宋" w:cs="Helvetica"/>
          <w:color w:val="666666"/>
          <w:sz w:val="28"/>
          <w:szCs w:val="28"/>
        </w:rPr>
        <w:t>作出</w:t>
      </w:r>
      <w:proofErr w:type="gramEnd"/>
      <w:r w:rsidRPr="00F96694">
        <w:rPr>
          <w:rFonts w:ascii="仿宋" w:eastAsia="仿宋" w:hAnsi="仿宋" w:cs="Helvetica"/>
          <w:color w:val="666666"/>
          <w:sz w:val="28"/>
          <w:szCs w:val="28"/>
        </w:rPr>
        <w:t>决定后，再行确定其信用等级，或视情节轻重对其信用等级进行调整或摘牌。</w:t>
      </w:r>
    </w:p>
    <w:p w14:paraId="77D441D9" w14:textId="5E8ED778"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第二十六条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信用等级有效期内的企业，如遇重大业绩调整等，可申请复评重新确认企业信用等级。</w:t>
      </w:r>
    </w:p>
    <w:p w14:paraId="24EF11B4" w14:textId="3058A4BE"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第二十七条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中国房协每年公布信用等级企业动态监测结果。</w:t>
      </w:r>
    </w:p>
    <w:p w14:paraId="0286E137" w14:textId="2292B04E"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 xml:space="preserve">第六章 </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其 他</w:t>
      </w:r>
    </w:p>
    <w:p w14:paraId="0B7A9EA6" w14:textId="0564A658"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第二十八条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参评企业必须保证申报材料的真实性和合法性，如发现申报虚假材料，取消参评资格。</w:t>
      </w:r>
    </w:p>
    <w:p w14:paraId="7A250B76" w14:textId="59007777"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lastRenderedPageBreak/>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第二十九条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第三方评价机构要严格遵守信用评价程序，保证信用评价的独立、客观、公正、完整。不得弄虚作假，不得擅自披露、使用或许可他人使用在信用评价过程中获取的参评企业相关信息；不得接受参评企业财物。如违反上述规定或因工作失误使参评企业信用评价结果与实际情况不符的，或对信用评价工作造成负面影响的，中国房协将给予警告或取消其评价资格，情节严重的，依法追究其责任。</w:t>
      </w:r>
    </w:p>
    <w:p w14:paraId="7A35B7CC" w14:textId="70304D43"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00F96694" w:rsidRPr="00F96694">
        <w:rPr>
          <w:rFonts w:ascii="仿宋" w:eastAsia="仿宋" w:hAnsi="仿宋" w:cs="Helvetica"/>
          <w:b/>
          <w:bCs/>
          <w:color w:val="666666"/>
          <w:sz w:val="28"/>
          <w:szCs w:val="28"/>
        </w:rPr>
        <w:t xml:space="preserve"> </w:t>
      </w:r>
      <w:r w:rsidRPr="00F96694">
        <w:rPr>
          <w:rFonts w:ascii="仿宋" w:eastAsia="仿宋" w:hAnsi="仿宋" w:cs="Helvetica"/>
          <w:b/>
          <w:bCs/>
          <w:color w:val="666666"/>
          <w:sz w:val="28"/>
          <w:szCs w:val="28"/>
        </w:rPr>
        <w:t>第三十条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中国房协信用建设管理委员会、信用建设专家委员会、信用建设办公室工作人员要廉洁自律，秉公办事，不能帮助参评企业弄虚作假，不得要求评价机构提供不实的评价结果，不能收受参评企业礼金。如违反上述规定，中国房协依法依规予以处理。</w:t>
      </w:r>
    </w:p>
    <w:p w14:paraId="79D90D75" w14:textId="708255E8" w:rsidR="009B026D" w:rsidRPr="00F96694" w:rsidRDefault="009B026D" w:rsidP="00F96694">
      <w:pPr>
        <w:pStyle w:val="a3"/>
        <w:spacing w:before="0" w:beforeAutospacing="0" w:after="0" w:afterAutospacing="0" w:line="520" w:lineRule="exact"/>
        <w:jc w:val="center"/>
        <w:rPr>
          <w:rFonts w:ascii="仿宋" w:eastAsia="仿宋" w:hAnsi="仿宋" w:cs="Helvetica"/>
          <w:color w:val="666666"/>
          <w:sz w:val="28"/>
          <w:szCs w:val="28"/>
        </w:rPr>
      </w:pPr>
      <w:r w:rsidRPr="00F96694">
        <w:rPr>
          <w:rStyle w:val="a4"/>
          <w:rFonts w:ascii="仿宋" w:eastAsia="仿宋" w:hAnsi="仿宋" w:cs="Helvetica"/>
          <w:color w:val="666666"/>
          <w:sz w:val="28"/>
          <w:szCs w:val="28"/>
        </w:rPr>
        <w:t xml:space="preserve">第七章 </w:t>
      </w:r>
      <w:r w:rsidRPr="00F96694">
        <w:rPr>
          <w:rStyle w:val="a4"/>
          <w:rFonts w:ascii="Calibri" w:eastAsia="仿宋" w:hAnsi="Calibri" w:cs="Calibri"/>
          <w:color w:val="666666"/>
          <w:sz w:val="28"/>
          <w:szCs w:val="28"/>
        </w:rPr>
        <w:t> </w:t>
      </w:r>
      <w:r w:rsidRPr="00F96694">
        <w:rPr>
          <w:rStyle w:val="a4"/>
          <w:rFonts w:ascii="仿宋" w:eastAsia="仿宋" w:hAnsi="仿宋" w:cs="Helvetica"/>
          <w:color w:val="666666"/>
          <w:sz w:val="28"/>
          <w:szCs w:val="28"/>
        </w:rPr>
        <w:t>附 则</w:t>
      </w:r>
    </w:p>
    <w:p w14:paraId="16E6478E" w14:textId="0C8302B2"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00F96694" w:rsidRPr="00F96694">
        <w:rPr>
          <w:rFonts w:ascii="仿宋" w:eastAsia="仿宋" w:hAnsi="仿宋" w:cs="Helvetica"/>
          <w:b/>
          <w:bCs/>
          <w:color w:val="666666"/>
          <w:sz w:val="28"/>
          <w:szCs w:val="28"/>
        </w:rPr>
        <w:t xml:space="preserve"> </w:t>
      </w:r>
      <w:r w:rsidRPr="00F96694">
        <w:rPr>
          <w:rFonts w:ascii="仿宋" w:eastAsia="仿宋" w:hAnsi="仿宋" w:cs="Helvetica"/>
          <w:b/>
          <w:bCs/>
          <w:color w:val="666666"/>
          <w:sz w:val="28"/>
          <w:szCs w:val="28"/>
        </w:rPr>
        <w:t>第三十一条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本办法由中国房地产业协会负责解释。</w:t>
      </w:r>
    </w:p>
    <w:p w14:paraId="1B53C46A" w14:textId="5C3E2E7F" w:rsidR="009B026D" w:rsidRPr="00F96694" w:rsidRDefault="009B026D" w:rsidP="00F96694">
      <w:pPr>
        <w:pStyle w:val="a3"/>
        <w:spacing w:before="0" w:beforeAutospacing="0" w:after="0" w:afterAutospacing="0" w:line="520" w:lineRule="exact"/>
        <w:rPr>
          <w:rFonts w:ascii="仿宋" w:eastAsia="仿宋" w:hAnsi="仿宋" w:cs="Helvetica"/>
          <w:color w:val="666666"/>
          <w:sz w:val="28"/>
          <w:szCs w:val="28"/>
        </w:rPr>
      </w:pPr>
      <w:r w:rsidRPr="00F96694">
        <w:rPr>
          <w:rFonts w:ascii="仿宋" w:eastAsia="仿宋" w:hAnsi="仿宋" w:cs="Helvetica"/>
          <w:color w:val="666666"/>
          <w:sz w:val="28"/>
          <w:szCs w:val="28"/>
        </w:rPr>
        <w:t> </w:t>
      </w:r>
      <w:r w:rsidRPr="00F96694">
        <w:rPr>
          <w:rFonts w:ascii="仿宋" w:eastAsia="仿宋" w:hAnsi="仿宋" w:cs="Helvetica"/>
          <w:color w:val="666666"/>
          <w:sz w:val="28"/>
          <w:szCs w:val="28"/>
        </w:rPr>
        <w:t> </w:t>
      </w:r>
      <w:r w:rsidR="00F96694">
        <w:rPr>
          <w:rFonts w:ascii="仿宋" w:eastAsia="仿宋" w:hAnsi="仿宋" w:cs="Helvetica"/>
          <w:color w:val="666666"/>
          <w:sz w:val="28"/>
          <w:szCs w:val="28"/>
        </w:rPr>
        <w:t xml:space="preserve">  </w:t>
      </w:r>
      <w:r w:rsidRPr="00F96694">
        <w:rPr>
          <w:rFonts w:ascii="仿宋" w:eastAsia="仿宋" w:hAnsi="仿宋" w:cs="Helvetica"/>
          <w:b/>
          <w:bCs/>
          <w:color w:val="666666"/>
          <w:sz w:val="28"/>
          <w:szCs w:val="28"/>
        </w:rPr>
        <w:t>第三十二条</w:t>
      </w:r>
      <w:r w:rsidRPr="00F96694">
        <w:rPr>
          <w:rFonts w:ascii="Calibri" w:eastAsia="仿宋" w:hAnsi="Calibri" w:cs="Calibri"/>
          <w:color w:val="666666"/>
          <w:sz w:val="28"/>
          <w:szCs w:val="28"/>
        </w:rPr>
        <w:t>   </w:t>
      </w:r>
      <w:r w:rsidRPr="00F96694">
        <w:rPr>
          <w:rFonts w:ascii="仿宋" w:eastAsia="仿宋" w:hAnsi="仿宋" w:cs="Helvetica"/>
          <w:color w:val="666666"/>
          <w:sz w:val="28"/>
          <w:szCs w:val="28"/>
        </w:rPr>
        <w:t>本办法2022年3月修订，自发布之日起施行。原《中国房地产业协会房地产行业（开发企业）信用评价管理办法》（中国房协〔2020〕24号）废止。</w:t>
      </w:r>
    </w:p>
    <w:p w14:paraId="1F7BAF14" w14:textId="77777777" w:rsidR="009B026D" w:rsidRPr="00F96694" w:rsidRDefault="009B026D" w:rsidP="00F96694">
      <w:pPr>
        <w:spacing w:line="520" w:lineRule="exact"/>
        <w:rPr>
          <w:rFonts w:ascii="仿宋" w:eastAsia="仿宋" w:hAnsi="仿宋"/>
          <w:sz w:val="28"/>
          <w:szCs w:val="28"/>
        </w:rPr>
      </w:pPr>
    </w:p>
    <w:sectPr w:rsidR="009B026D" w:rsidRPr="00F96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F76C" w14:textId="77777777" w:rsidR="00C4345F" w:rsidRDefault="00C4345F" w:rsidP="00F96694">
      <w:r>
        <w:separator/>
      </w:r>
    </w:p>
  </w:endnote>
  <w:endnote w:type="continuationSeparator" w:id="0">
    <w:p w14:paraId="2BE0B3FD" w14:textId="77777777" w:rsidR="00C4345F" w:rsidRDefault="00C4345F" w:rsidP="00F9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187C" w14:textId="77777777" w:rsidR="00C4345F" w:rsidRDefault="00C4345F" w:rsidP="00F96694">
      <w:r>
        <w:separator/>
      </w:r>
    </w:p>
  </w:footnote>
  <w:footnote w:type="continuationSeparator" w:id="0">
    <w:p w14:paraId="742BF924" w14:textId="77777777" w:rsidR="00C4345F" w:rsidRDefault="00C4345F" w:rsidP="00F9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6D"/>
    <w:rsid w:val="0057055F"/>
    <w:rsid w:val="007D4E5F"/>
    <w:rsid w:val="009B026D"/>
    <w:rsid w:val="00C204F7"/>
    <w:rsid w:val="00C4345F"/>
    <w:rsid w:val="00E57DE6"/>
    <w:rsid w:val="00F9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95BF"/>
  <w15:chartTrackingRefBased/>
  <w15:docId w15:val="{944EC29C-4005-4875-A2DE-85D3813D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2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26D"/>
    <w:rPr>
      <w:b/>
      <w:bCs/>
    </w:rPr>
  </w:style>
  <w:style w:type="paragraph" w:styleId="a5">
    <w:name w:val="header"/>
    <w:basedOn w:val="a"/>
    <w:link w:val="a6"/>
    <w:uiPriority w:val="99"/>
    <w:unhideWhenUsed/>
    <w:rsid w:val="00F96694"/>
    <w:pPr>
      <w:tabs>
        <w:tab w:val="center" w:pos="4153"/>
        <w:tab w:val="right" w:pos="8306"/>
      </w:tabs>
      <w:snapToGrid w:val="0"/>
      <w:jc w:val="center"/>
    </w:pPr>
    <w:rPr>
      <w:sz w:val="18"/>
      <w:szCs w:val="18"/>
    </w:rPr>
  </w:style>
  <w:style w:type="character" w:customStyle="1" w:styleId="a6">
    <w:name w:val="页眉 字符"/>
    <w:basedOn w:val="a0"/>
    <w:link w:val="a5"/>
    <w:uiPriority w:val="99"/>
    <w:rsid w:val="00F96694"/>
    <w:rPr>
      <w:sz w:val="18"/>
      <w:szCs w:val="18"/>
    </w:rPr>
  </w:style>
  <w:style w:type="paragraph" w:styleId="a7">
    <w:name w:val="footer"/>
    <w:basedOn w:val="a"/>
    <w:link w:val="a8"/>
    <w:uiPriority w:val="99"/>
    <w:unhideWhenUsed/>
    <w:rsid w:val="00F96694"/>
    <w:pPr>
      <w:tabs>
        <w:tab w:val="center" w:pos="4153"/>
        <w:tab w:val="right" w:pos="8306"/>
      </w:tabs>
      <w:snapToGrid w:val="0"/>
      <w:jc w:val="left"/>
    </w:pPr>
    <w:rPr>
      <w:sz w:val="18"/>
      <w:szCs w:val="18"/>
    </w:rPr>
  </w:style>
  <w:style w:type="character" w:customStyle="1" w:styleId="a8">
    <w:name w:val="页脚 字符"/>
    <w:basedOn w:val="a0"/>
    <w:link w:val="a7"/>
    <w:uiPriority w:val="99"/>
    <w:rsid w:val="00F966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AXQ</dc:creator>
  <cp:keywords/>
  <dc:description/>
  <cp:lastModifiedBy>林 月花</cp:lastModifiedBy>
  <cp:revision>6</cp:revision>
  <dcterms:created xsi:type="dcterms:W3CDTF">2022-05-05T02:42:00Z</dcterms:created>
  <dcterms:modified xsi:type="dcterms:W3CDTF">2023-07-04T01:28:00Z</dcterms:modified>
</cp:coreProperties>
</file>