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A60F" w14:textId="77777777" w:rsidR="0035415A" w:rsidRDefault="00000000">
      <w:pPr>
        <w:pStyle w:val="affffffb"/>
        <w:framePr w:wrap="around"/>
      </w:pPr>
      <w:r>
        <w:rPr>
          <w:rFonts w:ascii="Times New Roman"/>
        </w:rPr>
        <w:t>ICS</w:t>
      </w:r>
      <w:r>
        <w:rPr>
          <w:rFonts w:hAnsi="黑体"/>
        </w:rPr>
        <w:t> </w:t>
      </w:r>
      <w:r>
        <w:rPr>
          <w:rFonts w:hint="eastAsia"/>
        </w:rPr>
        <w:t>03.100.01</w:t>
      </w:r>
    </w:p>
    <w:p w14:paraId="69D65096" w14:textId="77777777" w:rsidR="0035415A" w:rsidRDefault="00000000">
      <w:pPr>
        <w:pStyle w:val="affffffb"/>
        <w:framePr w:wrap="around"/>
        <w:rPr>
          <w:rFonts w:ascii="Times New Roman"/>
        </w:rPr>
      </w:pPr>
      <w:r>
        <w:rPr>
          <w:rFonts w:ascii="Times New Roman"/>
        </w:rPr>
        <w:t>CCS </w:t>
      </w:r>
      <w:r>
        <w:rPr>
          <w:rFonts w:hint="eastAsia"/>
        </w:rPr>
        <w:t>A20</w:t>
      </w:r>
    </w:p>
    <w:tbl>
      <w:tblPr>
        <w:tblStyle w:val="afff5"/>
        <w:tblW w:w="0" w:type="auto"/>
        <w:tblLook w:val="04A0" w:firstRow="1" w:lastRow="0" w:firstColumn="1" w:lastColumn="0" w:noHBand="0" w:noVBand="1"/>
      </w:tblPr>
      <w:tblGrid>
        <w:gridCol w:w="9628"/>
      </w:tblGrid>
      <w:tr w:rsidR="0035415A" w14:paraId="39BE31EF" w14:textId="77777777">
        <w:tc>
          <w:tcPr>
            <w:tcW w:w="9628" w:type="dxa"/>
            <w:tcBorders>
              <w:top w:val="nil"/>
              <w:left w:val="nil"/>
              <w:bottom w:val="nil"/>
              <w:right w:val="nil"/>
            </w:tcBorders>
            <w:shd w:val="clear" w:color="auto" w:fill="auto"/>
          </w:tcPr>
          <w:p w14:paraId="5DDE71BC" w14:textId="77777777" w:rsidR="0035415A" w:rsidRDefault="00000000">
            <w:pPr>
              <w:pStyle w:val="affffffb"/>
              <w:framePr w:wrap="around"/>
            </w:pPr>
            <w:r>
              <w:fldChar w:fldCharType="begin">
                <w:ffData>
                  <w:name w:val="BAH"/>
                  <w:enabled/>
                  <w:calcOnExit w:val="0"/>
                  <w:textInput/>
                </w:ffData>
              </w:fldChar>
            </w:r>
            <w:bookmarkStart w:id="0" w:name="BAH"/>
            <w:r>
              <w:instrText xml:space="preserve"> </w:instrText>
            </w:r>
            <w:r>
              <w:rPr>
                <w:rFonts w:hint="eastAsia"/>
              </w:rPr>
              <w:instrText>FORMTEXT</w:instrText>
            </w:r>
            <w:r>
              <w:instrText xml:space="preserve"> </w:instrText>
            </w:r>
            <w:r>
              <w:fldChar w:fldCharType="separate"/>
            </w:r>
            <w:r>
              <w:t>     </w:t>
            </w:r>
            <w:r>
              <w:fldChar w:fldCharType="end"/>
            </w:r>
            <w:bookmarkEnd w:id="0"/>
          </w:p>
        </w:tc>
      </w:tr>
    </w:tbl>
    <w:p w14:paraId="508E623C" w14:textId="77777777" w:rsidR="0035415A" w:rsidRDefault="00000000">
      <w:pPr>
        <w:pStyle w:val="affffff"/>
        <w:framePr w:wrap="around"/>
        <w:wordWrap w:val="0"/>
      </w:pPr>
      <w:r>
        <w:t xml:space="preserve">  </w:t>
      </w:r>
      <w:r>
        <w:fldChar w:fldCharType="begin">
          <w:ffData>
            <w:name w:val="c5"/>
            <w:enabled/>
            <w:calcOnExit w:val="0"/>
            <w:entryMacro w:val="ShowHelp17"/>
            <w:textInput/>
          </w:ffData>
        </w:fldChar>
      </w:r>
      <w:bookmarkStart w:id="1" w:name="c5"/>
      <w:r>
        <w:instrText xml:space="preserve"> FORMTEXT </w:instrText>
      </w:r>
      <w:r>
        <w:fldChar w:fldCharType="separate"/>
      </w:r>
      <w:r>
        <w:t>T/</w:t>
      </w:r>
      <w:r>
        <w:fldChar w:fldCharType="end"/>
      </w:r>
      <w:bookmarkEnd w:id="1"/>
      <w:r>
        <w:rPr>
          <w:rFonts w:hint="eastAsia"/>
        </w:rPr>
        <w:t>CREA</w:t>
      </w:r>
    </w:p>
    <w:p w14:paraId="015B6B6C" w14:textId="77777777" w:rsidR="0035415A" w:rsidRDefault="00000000">
      <w:pPr>
        <w:pStyle w:val="affffff0"/>
        <w:framePr w:wrap="around"/>
        <w:rPr>
          <w:rFonts w:ascii="Times New Roman" w:hAnsi="Times New Roman"/>
          <w:sz w:val="72"/>
          <w:szCs w:val="72"/>
        </w:rPr>
      </w:pPr>
      <w:r>
        <w:rPr>
          <w:rFonts w:hint="eastAsia"/>
        </w:rPr>
        <w:t>中国房地产业协会</w:t>
      </w:r>
      <w:r>
        <w:fldChar w:fldCharType="begin">
          <w:ffData>
            <w:name w:val="c6"/>
            <w:enabled/>
            <w:calcOnExit w:val="0"/>
            <w:entryMacro w:val="showhelp13"/>
            <w:textInput/>
          </w:ffData>
        </w:fldChar>
      </w:r>
      <w:bookmarkStart w:id="2" w:name="c6"/>
      <w:r>
        <w:instrText xml:space="preserve"> FORMTEXT </w:instrText>
      </w:r>
      <w:r>
        <w:fldChar w:fldCharType="separate"/>
      </w:r>
      <w:r>
        <w:rPr>
          <w:rFonts w:hint="eastAsia"/>
        </w:rPr>
        <w:t>标准</w:t>
      </w:r>
      <w:r>
        <w:fldChar w:fldCharType="end"/>
      </w:r>
      <w:bookmarkEnd w:id="2"/>
    </w:p>
    <w:p w14:paraId="2B34B69F" w14:textId="77777777" w:rsidR="0035415A" w:rsidRDefault="00000000">
      <w:pPr>
        <w:pStyle w:val="20"/>
        <w:framePr w:wrap="around"/>
        <w:rPr>
          <w:rFonts w:hAnsi="黑体"/>
        </w:rPr>
      </w:pPr>
      <w:r>
        <w:rPr>
          <w:rFonts w:ascii="Times New Roman" w:hint="eastAsia"/>
        </w:rPr>
        <w:t>T/CREA 011</w:t>
      </w:r>
      <w:r>
        <w:rPr>
          <w:rFonts w:ascii="Times New Roman" w:hint="eastAsia"/>
        </w:rPr>
        <w:t>—</w:t>
      </w:r>
      <w:r>
        <w:rPr>
          <w:rFonts w:ascii="Times New Roman" w:hint="eastAsia"/>
        </w:rPr>
        <w:t>2022</w:t>
      </w:r>
    </w:p>
    <w:tbl>
      <w:tblPr>
        <w:tblStyle w:val="afff5"/>
        <w:tblW w:w="0" w:type="auto"/>
        <w:tblLook w:val="04A0" w:firstRow="1" w:lastRow="0" w:firstColumn="1" w:lastColumn="0" w:noHBand="0" w:noVBand="1"/>
      </w:tblPr>
      <w:tblGrid>
        <w:gridCol w:w="9130"/>
      </w:tblGrid>
      <w:tr w:rsidR="0035415A" w14:paraId="0958D676" w14:textId="77777777">
        <w:tc>
          <w:tcPr>
            <w:tcW w:w="9130" w:type="dxa"/>
            <w:tcBorders>
              <w:top w:val="nil"/>
              <w:left w:val="nil"/>
              <w:bottom w:val="nil"/>
              <w:right w:val="nil"/>
            </w:tcBorders>
            <w:shd w:val="clear" w:color="auto" w:fill="auto"/>
          </w:tcPr>
          <w:p w14:paraId="204EC7EF" w14:textId="77777777" w:rsidR="0035415A" w:rsidRDefault="00000000">
            <w:pPr>
              <w:pStyle w:val="affffd"/>
              <w:framePr w:wrap="around"/>
            </w:pPr>
            <w:r>
              <w:rPr>
                <w:noProof/>
              </w:rPr>
              <mc:AlternateContent>
                <mc:Choice Requires="wps">
                  <w:drawing>
                    <wp:anchor distT="0" distB="0" distL="114300" distR="114300" simplePos="0" relativeHeight="251663360" behindDoc="1" locked="0" layoutInCell="1" allowOverlap="1" wp14:anchorId="2D5D2C47" wp14:editId="6A78683F">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Z7k/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r>
              <w:fldChar w:fldCharType="begin">
                <w:ffData>
                  <w:name w:val="DT"/>
                  <w:enabled/>
                  <w:calcOnExit w:val="0"/>
                  <w:entryMacro w:val="ShowHelp4"/>
                  <w:textInput/>
                </w:ffData>
              </w:fldChar>
            </w:r>
            <w:bookmarkStart w:id="3" w:name="DT"/>
            <w:r>
              <w:instrText xml:space="preserve"> FORMTEXT </w:instrText>
            </w:r>
            <w:r>
              <w:fldChar w:fldCharType="separate"/>
            </w:r>
            <w:r>
              <w:t>     </w:t>
            </w:r>
            <w:r>
              <w:fldChar w:fldCharType="end"/>
            </w:r>
            <w:bookmarkEnd w:id="3"/>
          </w:p>
        </w:tc>
      </w:tr>
    </w:tbl>
    <w:p w14:paraId="3028124C" w14:textId="77777777" w:rsidR="0035415A" w:rsidRDefault="0035415A">
      <w:pPr>
        <w:pStyle w:val="20"/>
        <w:framePr w:wrap="around"/>
        <w:rPr>
          <w:rFonts w:hAnsi="黑体"/>
        </w:rPr>
      </w:pPr>
    </w:p>
    <w:p w14:paraId="0C52A9E5" w14:textId="77777777" w:rsidR="0035415A" w:rsidRDefault="0035415A">
      <w:pPr>
        <w:pStyle w:val="20"/>
        <w:framePr w:wrap="around"/>
        <w:rPr>
          <w:rFonts w:hAnsi="黑体"/>
        </w:rPr>
      </w:pPr>
    </w:p>
    <w:p w14:paraId="5A4C5B78" w14:textId="77777777" w:rsidR="0035415A" w:rsidRDefault="00000000">
      <w:pPr>
        <w:pStyle w:val="affffe"/>
        <w:framePr w:wrap="around" w:x="1524" w:y="6083"/>
      </w:pPr>
      <w:r>
        <w:rPr>
          <w:rFonts w:hint="eastAsia"/>
        </w:rPr>
        <w:t>房地产开发企业信用评价标准</w:t>
      </w:r>
    </w:p>
    <w:p w14:paraId="3E5DDF4D" w14:textId="77777777" w:rsidR="0035415A" w:rsidRDefault="00000000">
      <w:pPr>
        <w:pStyle w:val="afffff"/>
        <w:framePr w:wrap="around" w:x="1524" w:y="6083"/>
      </w:pPr>
      <w:r>
        <w:t>Credit Evaluation Standard of Real Estate Development Enterprises</w:t>
      </w:r>
    </w:p>
    <w:p w14:paraId="324C60E5" w14:textId="77777777" w:rsidR="0035415A" w:rsidRDefault="00000000">
      <w:pPr>
        <w:pStyle w:val="afffff0"/>
        <w:framePr w:wrap="around" w:x="1524" w:y="6083"/>
      </w:pPr>
      <w:r>
        <w:rPr>
          <w:rFonts w:hint="eastAsia"/>
        </w:rPr>
        <w:t xml:space="preserve"> </w:t>
      </w:r>
    </w:p>
    <w:tbl>
      <w:tblPr>
        <w:tblStyle w:val="afff5"/>
        <w:tblW w:w="0" w:type="auto"/>
        <w:tblLook w:val="04A0" w:firstRow="1" w:lastRow="0" w:firstColumn="1" w:lastColumn="0" w:noHBand="0" w:noVBand="1"/>
      </w:tblPr>
      <w:tblGrid>
        <w:gridCol w:w="9629"/>
      </w:tblGrid>
      <w:tr w:rsidR="0035415A" w14:paraId="792E28D2" w14:textId="77777777">
        <w:tc>
          <w:tcPr>
            <w:tcW w:w="9629" w:type="dxa"/>
            <w:tcBorders>
              <w:top w:val="nil"/>
              <w:left w:val="nil"/>
              <w:bottom w:val="nil"/>
              <w:right w:val="nil"/>
            </w:tcBorders>
            <w:shd w:val="clear" w:color="auto" w:fill="auto"/>
          </w:tcPr>
          <w:p w14:paraId="372DF574" w14:textId="77777777" w:rsidR="0035415A" w:rsidRDefault="0035415A">
            <w:pPr>
              <w:pStyle w:val="afffff1"/>
              <w:framePr w:wrap="around" w:x="1524" w:y="6083"/>
            </w:pPr>
          </w:p>
        </w:tc>
      </w:tr>
      <w:tr w:rsidR="0035415A" w14:paraId="246F7870" w14:textId="77777777">
        <w:tc>
          <w:tcPr>
            <w:tcW w:w="9629" w:type="dxa"/>
            <w:tcBorders>
              <w:top w:val="nil"/>
              <w:left w:val="nil"/>
              <w:bottom w:val="nil"/>
              <w:right w:val="nil"/>
            </w:tcBorders>
            <w:shd w:val="clear" w:color="auto" w:fill="auto"/>
          </w:tcPr>
          <w:p w14:paraId="7AE0FDA4" w14:textId="77777777" w:rsidR="0035415A" w:rsidRDefault="0035415A">
            <w:pPr>
              <w:pStyle w:val="afffff2"/>
              <w:framePr w:wrap="around" w:x="1524" w:y="6083"/>
            </w:pPr>
          </w:p>
        </w:tc>
      </w:tr>
    </w:tbl>
    <w:p w14:paraId="636C1DE7" w14:textId="77777777" w:rsidR="0035415A" w:rsidRDefault="00000000">
      <w:pPr>
        <w:pStyle w:val="afffffff0"/>
        <w:framePr w:wrap="around"/>
      </w:pPr>
      <w:r>
        <w:rPr>
          <w:rFonts w:ascii="黑体" w:hint="eastAsia"/>
        </w:rPr>
        <w:t>2022</w:t>
      </w:r>
      <w:r>
        <w:t xml:space="preserve"> </w:t>
      </w:r>
      <w:r>
        <w:rPr>
          <w:rFonts w:ascii="黑体"/>
        </w:rPr>
        <w:t>-</w:t>
      </w:r>
      <w:r>
        <w:t xml:space="preserve"> </w:t>
      </w:r>
      <w:r>
        <w:rPr>
          <w:rFonts w:ascii="黑体" w:hint="eastAsia"/>
        </w:rPr>
        <w:t>02</w:t>
      </w:r>
      <w:r>
        <w:t xml:space="preserve"> </w:t>
      </w:r>
      <w:r>
        <w:rPr>
          <w:rFonts w:ascii="黑体"/>
        </w:rPr>
        <w:t>-</w:t>
      </w:r>
      <w:r>
        <w:t xml:space="preserve"> </w:t>
      </w:r>
      <w:r>
        <w:rPr>
          <w:rFonts w:ascii="黑体" w:hint="eastAsia"/>
        </w:rPr>
        <w:t>22</w:t>
      </w:r>
      <w:r>
        <w:rPr>
          <w:rFonts w:hint="eastAsia"/>
        </w:rPr>
        <w:t>发布</w:t>
      </w:r>
      <w:r>
        <w:rPr>
          <w:rFonts w:hint="eastAsia"/>
          <w:noProof/>
        </w:rPr>
        <mc:AlternateContent>
          <mc:Choice Requires="wps">
            <w:drawing>
              <wp:anchor distT="0" distB="0" distL="114300" distR="114300" simplePos="0" relativeHeight="251660288" behindDoc="0" locked="0" layoutInCell="1" allowOverlap="1" wp14:anchorId="28442B87" wp14:editId="5A46B06F">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r>
        <w:rPr>
          <w:rFonts w:hint="eastAsia"/>
          <w:noProof/>
        </w:rPr>
        <mc:AlternateContent>
          <mc:Choice Requires="wps">
            <w:drawing>
              <wp:anchor distT="0" distB="0" distL="114300" distR="114300" simplePos="0" relativeHeight="251659264" behindDoc="0" locked="0" layoutInCell="1" allowOverlap="1" wp14:anchorId="64EB7CB8" wp14:editId="391C9C59">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v:fill on="f" focussize="0,0"/>
                <v:stroke color="#000000 [3204]" joinstyle="round"/>
                <v:imagedata o:title=""/>
                <o:lock v:ext="edit" aspectratio="f"/>
              </v:line>
            </w:pict>
          </mc:Fallback>
        </mc:AlternateContent>
      </w:r>
    </w:p>
    <w:p w14:paraId="45C4101E" w14:textId="77777777" w:rsidR="0035415A" w:rsidRDefault="00000000">
      <w:pPr>
        <w:pStyle w:val="afffffff1"/>
        <w:framePr w:wrap="around"/>
      </w:pPr>
      <w:r>
        <w:rPr>
          <w:rFonts w:ascii="黑体" w:hint="eastAsia"/>
        </w:rPr>
        <w:t>2022</w:t>
      </w:r>
      <w:r>
        <w:t xml:space="preserve"> </w:t>
      </w:r>
      <w:r>
        <w:rPr>
          <w:rFonts w:ascii="黑体"/>
        </w:rPr>
        <w:t>-</w:t>
      </w:r>
      <w:r>
        <w:t xml:space="preserve"> </w:t>
      </w:r>
      <w:r>
        <w:rPr>
          <w:rFonts w:ascii="黑体" w:hint="eastAsia"/>
        </w:rPr>
        <w:t>03</w:t>
      </w:r>
      <w:r>
        <w:t xml:space="preserve"> </w:t>
      </w:r>
      <w:r>
        <w:rPr>
          <w:rFonts w:ascii="黑体"/>
        </w:rPr>
        <w:t>-</w:t>
      </w:r>
      <w:r>
        <w:t xml:space="preserve"> </w:t>
      </w:r>
      <w:r>
        <w:rPr>
          <w:rFonts w:ascii="黑体" w:hint="eastAsia"/>
        </w:rPr>
        <w:t>15</w:t>
      </w:r>
      <w:r>
        <w:rPr>
          <w:rFonts w:hint="eastAsia"/>
        </w:rPr>
        <w:t>实施</w:t>
      </w:r>
    </w:p>
    <w:p w14:paraId="0DAB29A4" w14:textId="77777777" w:rsidR="0035415A" w:rsidRDefault="00000000">
      <w:pPr>
        <w:pStyle w:val="affffff1"/>
        <w:framePr w:wrap="around"/>
        <w:ind w:firstLineChars="300" w:firstLine="1249"/>
        <w:jc w:val="both"/>
      </w:pPr>
      <w:r>
        <w:rPr>
          <w:rFonts w:hint="eastAsia"/>
        </w:rPr>
        <w:t>中国房地产业协会</w:t>
      </w:r>
    </w:p>
    <w:p w14:paraId="7A692AC7" w14:textId="77777777" w:rsidR="0035415A" w:rsidRDefault="00000000">
      <w:pPr>
        <w:pStyle w:val="affffff1"/>
        <w:framePr w:wrap="around"/>
      </w:pPr>
      <w:r>
        <w:rPr>
          <w:rFonts w:hint="eastAsia"/>
        </w:rPr>
        <w:t xml:space="preserve">            </w:t>
      </w:r>
      <w:r>
        <w:t xml:space="preserve"> </w:t>
      </w:r>
      <w:r>
        <w:rPr>
          <w:rStyle w:val="affffa"/>
        </w:rPr>
        <w:t xml:space="preserve"> </w:t>
      </w:r>
      <w:r>
        <w:rPr>
          <w:rStyle w:val="affffa"/>
          <w:rFonts w:hint="eastAsia"/>
        </w:rPr>
        <w:t xml:space="preserve"> 发布</w:t>
      </w:r>
    </w:p>
    <w:p w14:paraId="2F9B08F5" w14:textId="77777777" w:rsidR="0035415A" w:rsidRDefault="00000000">
      <w:pPr>
        <w:pStyle w:val="afff1"/>
        <w:sectPr w:rsidR="0035415A">
          <w:pgSz w:w="11906" w:h="16838"/>
          <w:pgMar w:top="567" w:right="850" w:bottom="1134" w:left="1418" w:header="0" w:footer="0" w:gutter="0"/>
          <w:pgNumType w:fmt="upperRoman" w:start="1"/>
          <w:cols w:space="425"/>
          <w:docGrid w:type="lines" w:linePitch="312"/>
        </w:sectPr>
      </w:pPr>
      <w:r>
        <w:rPr>
          <w:rFonts w:hint="eastAsia"/>
          <w:noProof/>
        </w:rPr>
        <mc:AlternateContent>
          <mc:Choice Requires="wps">
            <w:drawing>
              <wp:anchor distT="0" distB="0" distL="114300" distR="114300" simplePos="0" relativeHeight="251664384" behindDoc="1" locked="0" layoutInCell="1" allowOverlap="1" wp14:anchorId="19A6E5B1" wp14:editId="32C6653C">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BAH" o:spid="_x0000_s1026" o:spt="1" style="position:absolute;left:0pt;margin-left:-5.25pt;margin-top:31.2pt;height:15.6pt;width:68.25pt;z-index:-251652096;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00266F8A" wp14:editId="5D91B236">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JiyUh9cBAACaAwAADgAAAGRycy9lMm9Eb2MueG1srVPNbhMx&#10;EL4j8Q6W72Q3UVv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CYslIfXAQAAmgMAAA4AAAAAAAAA&#10;AQAgAAAAJAEAAGRycy9lMm9Eb2MueG1sUEsFBgAAAAAGAAYAWQEAAG0FAAAAAA==&#10;">
                <v:fill on="f" focussize="0,0"/>
                <v:stroke color="#000000 [3204]" joinstyle="round"/>
                <v:imagedata o:title=""/>
                <o:lock v:ext="edit" aspectratio="f"/>
              </v:line>
            </w:pict>
          </mc:Fallback>
        </mc:AlternateContent>
      </w:r>
      <w:r>
        <w:rPr>
          <w:rFonts w:hint="eastAsia"/>
          <w:noProof/>
        </w:rPr>
        <mc:AlternateContent>
          <mc:Choice Requires="wps">
            <w:drawing>
              <wp:anchor distT="0" distB="0" distL="114300" distR="114300" simplePos="0" relativeHeight="251661312" behindDoc="0" locked="0" layoutInCell="1" allowOverlap="1" wp14:anchorId="396E9A7C" wp14:editId="6329593E">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CNjE69cBAACaAwAADgAAAGRycy9lMm9Eb2MueG1srVPNbhMx&#10;EL4j8Q6W72Q3qVr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6/RqNUAAAAKAQAADwAAAAAAAAABACAA&#10;AAAiAAAAZHJzL2Rvd25yZXYueG1sUEsBAhQAFAAAAAgAh07iQAjYxOvXAQAAmgMAAA4AAAAAAAAA&#10;AQAgAAAAJAEAAGRycy9lMm9Eb2MueG1sUEsFBgAAAAAGAAYAWQEAAG0FAAAAAA==&#10;">
                <v:fill on="f" focussize="0,0"/>
                <v:stroke color="#000000 [3204]" joinstyle="round"/>
                <v:imagedata o:title=""/>
                <o:lock v:ext="edit" aspectratio="f"/>
              </v:line>
            </w:pict>
          </mc:Fallback>
        </mc:AlternateContent>
      </w:r>
    </w:p>
    <w:p w14:paraId="69B371CC" w14:textId="77777777" w:rsidR="0035415A" w:rsidRDefault="0035415A">
      <w:pPr>
        <w:jc w:val="center"/>
        <w:rPr>
          <w:rFonts w:eastAsia="黑体"/>
          <w:sz w:val="32"/>
          <w:szCs w:val="32"/>
        </w:rPr>
      </w:pPr>
      <w:bookmarkStart w:id="4" w:name="_Toc27836"/>
      <w:bookmarkStart w:id="5" w:name="_Toc383701492"/>
      <w:bookmarkStart w:id="6" w:name="_Toc468692981"/>
      <w:bookmarkStart w:id="7" w:name="_Toc383701993"/>
      <w:bookmarkStart w:id="8" w:name="_Toc7167"/>
      <w:bookmarkStart w:id="9" w:name="_Toc52288514"/>
      <w:bookmarkStart w:id="10" w:name="_Toc44414101"/>
    </w:p>
    <w:p w14:paraId="2421944D" w14:textId="77777777" w:rsidR="0035415A" w:rsidRDefault="00000000">
      <w:pPr>
        <w:jc w:val="center"/>
        <w:rPr>
          <w:rFonts w:eastAsia="黑体"/>
          <w:sz w:val="32"/>
          <w:szCs w:val="32"/>
        </w:rPr>
      </w:pPr>
      <w:r>
        <w:rPr>
          <w:rFonts w:eastAsia="黑体"/>
          <w:sz w:val="32"/>
          <w:szCs w:val="32"/>
        </w:rPr>
        <w:t>目</w:t>
      </w:r>
      <w:r>
        <w:rPr>
          <w:rFonts w:eastAsia="黑体"/>
          <w:sz w:val="32"/>
          <w:szCs w:val="32"/>
        </w:rPr>
        <w:t xml:space="preserve">    </w:t>
      </w:r>
      <w:r>
        <w:rPr>
          <w:rFonts w:eastAsia="黑体"/>
          <w:sz w:val="32"/>
          <w:szCs w:val="32"/>
        </w:rPr>
        <w:t>次</w:t>
      </w:r>
      <w:bookmarkEnd w:id="4"/>
      <w:bookmarkEnd w:id="5"/>
      <w:bookmarkEnd w:id="6"/>
      <w:bookmarkEnd w:id="7"/>
      <w:bookmarkEnd w:id="8"/>
    </w:p>
    <w:p w14:paraId="374304BF" w14:textId="77777777" w:rsidR="0035415A" w:rsidRDefault="0035415A">
      <w:pPr>
        <w:jc w:val="center"/>
        <w:rPr>
          <w:rFonts w:eastAsia="黑体"/>
          <w:sz w:val="32"/>
          <w:szCs w:val="32"/>
        </w:rPr>
      </w:pPr>
    </w:p>
    <w:p w14:paraId="2119E4C3" w14:textId="77777777" w:rsidR="0035415A" w:rsidRDefault="00000000">
      <w:pPr>
        <w:pStyle w:val="TOC1"/>
        <w:tabs>
          <w:tab w:val="clear" w:pos="9241"/>
          <w:tab w:val="right" w:leader="dot" w:pos="9354"/>
        </w:tabs>
        <w:spacing w:before="78" w:after="78"/>
      </w:pPr>
      <w:r>
        <w:rPr>
          <w:rFonts w:ascii="Times New Roman" w:eastAsia="黑体"/>
          <w:sz w:val="32"/>
        </w:rPr>
        <w:fldChar w:fldCharType="begin"/>
      </w:r>
      <w:r>
        <w:rPr>
          <w:rFonts w:ascii="Times New Roman" w:eastAsia="黑体"/>
          <w:sz w:val="32"/>
        </w:rPr>
        <w:instrText xml:space="preserve"> TOC \o "1-2" \h \z \u </w:instrText>
      </w:r>
      <w:r>
        <w:rPr>
          <w:rFonts w:ascii="Times New Roman" w:eastAsia="黑体"/>
          <w:sz w:val="32"/>
        </w:rPr>
        <w:fldChar w:fldCharType="separate"/>
      </w:r>
      <w:hyperlink w:anchor="_Toc19903" w:history="1">
        <w:r>
          <w:rPr>
            <w:rFonts w:hint="eastAsia"/>
          </w:rPr>
          <w:t>前</w:t>
        </w:r>
        <w:r>
          <w:rPr>
            <w:rFonts w:hAnsi="黑体"/>
          </w:rPr>
          <w:t>  </w:t>
        </w:r>
        <w:r>
          <w:rPr>
            <w:rFonts w:hint="eastAsia"/>
          </w:rPr>
          <w:t>言</w:t>
        </w:r>
        <w:r>
          <w:tab/>
        </w:r>
        <w:r>
          <w:fldChar w:fldCharType="begin"/>
        </w:r>
        <w:r>
          <w:instrText xml:space="preserve"> PAGEREF _Toc19903 \h </w:instrText>
        </w:r>
        <w:r>
          <w:fldChar w:fldCharType="separate"/>
        </w:r>
        <w:r>
          <w:t>II</w:t>
        </w:r>
        <w:r>
          <w:fldChar w:fldCharType="end"/>
        </w:r>
      </w:hyperlink>
    </w:p>
    <w:p w14:paraId="7969CA5A" w14:textId="77777777" w:rsidR="0035415A" w:rsidRDefault="00000000">
      <w:pPr>
        <w:pStyle w:val="TOC1"/>
        <w:tabs>
          <w:tab w:val="clear" w:pos="9241"/>
          <w:tab w:val="right" w:leader="dot" w:pos="9354"/>
        </w:tabs>
        <w:spacing w:before="78" w:after="78"/>
      </w:pPr>
      <w:hyperlink w:anchor="_Toc5907" w:history="1">
        <w:r>
          <w:rPr>
            <w:rFonts w:hint="eastAsia"/>
          </w:rPr>
          <w:t>引</w:t>
        </w:r>
        <w:r>
          <w:rPr>
            <w:rFonts w:hAnsi="黑体"/>
          </w:rPr>
          <w:t>  </w:t>
        </w:r>
        <w:r>
          <w:rPr>
            <w:rFonts w:hint="eastAsia"/>
          </w:rPr>
          <w:t>言</w:t>
        </w:r>
        <w:r>
          <w:tab/>
        </w:r>
        <w:r>
          <w:fldChar w:fldCharType="begin"/>
        </w:r>
        <w:r>
          <w:instrText xml:space="preserve"> PAGEREF _Toc5907 \h </w:instrText>
        </w:r>
        <w:r>
          <w:fldChar w:fldCharType="separate"/>
        </w:r>
        <w:r>
          <w:t>III</w:t>
        </w:r>
        <w:r>
          <w:fldChar w:fldCharType="end"/>
        </w:r>
      </w:hyperlink>
    </w:p>
    <w:p w14:paraId="6A84E3C4" w14:textId="77777777" w:rsidR="0035415A" w:rsidRDefault="00000000">
      <w:pPr>
        <w:pStyle w:val="TOC2"/>
        <w:tabs>
          <w:tab w:val="clear" w:pos="9241"/>
          <w:tab w:val="right" w:leader="dot" w:pos="9354"/>
        </w:tabs>
      </w:pPr>
      <w:hyperlink w:anchor="_Toc27471" w:history="1">
        <w:r>
          <w:rPr>
            <w:rFonts w:ascii="黑体" w:eastAsia="黑体" w:hint="eastAsia"/>
          </w:rPr>
          <w:t xml:space="preserve">1 </w:t>
        </w:r>
        <w:r>
          <w:rPr>
            <w:rFonts w:hint="eastAsia"/>
          </w:rPr>
          <w:t>范围</w:t>
        </w:r>
        <w:r>
          <w:tab/>
        </w:r>
        <w:r>
          <w:fldChar w:fldCharType="begin"/>
        </w:r>
        <w:r>
          <w:instrText xml:space="preserve"> PAGEREF _Toc27471 \h </w:instrText>
        </w:r>
        <w:r>
          <w:fldChar w:fldCharType="separate"/>
        </w:r>
        <w:r>
          <w:t>1</w:t>
        </w:r>
        <w:r>
          <w:fldChar w:fldCharType="end"/>
        </w:r>
      </w:hyperlink>
    </w:p>
    <w:p w14:paraId="0722C6D3" w14:textId="77777777" w:rsidR="0035415A" w:rsidRDefault="00000000">
      <w:pPr>
        <w:pStyle w:val="TOC2"/>
        <w:tabs>
          <w:tab w:val="clear" w:pos="9241"/>
          <w:tab w:val="right" w:leader="dot" w:pos="9354"/>
        </w:tabs>
      </w:pPr>
      <w:hyperlink w:anchor="_Toc26376" w:history="1">
        <w:r>
          <w:rPr>
            <w:rFonts w:ascii="黑体" w:eastAsia="黑体" w:hint="eastAsia"/>
          </w:rPr>
          <w:t xml:space="preserve">2 </w:t>
        </w:r>
        <w:r>
          <w:rPr>
            <w:rFonts w:hint="eastAsia"/>
          </w:rPr>
          <w:t>规范性引用文件</w:t>
        </w:r>
        <w:r>
          <w:tab/>
        </w:r>
        <w:r>
          <w:fldChar w:fldCharType="begin"/>
        </w:r>
        <w:r>
          <w:instrText xml:space="preserve"> PAGEREF _Toc26376 \h </w:instrText>
        </w:r>
        <w:r>
          <w:fldChar w:fldCharType="separate"/>
        </w:r>
        <w:r>
          <w:t>1</w:t>
        </w:r>
        <w:r>
          <w:fldChar w:fldCharType="end"/>
        </w:r>
      </w:hyperlink>
    </w:p>
    <w:p w14:paraId="5C32405A" w14:textId="77777777" w:rsidR="0035415A" w:rsidRDefault="00000000">
      <w:pPr>
        <w:pStyle w:val="TOC2"/>
        <w:tabs>
          <w:tab w:val="clear" w:pos="9241"/>
          <w:tab w:val="right" w:leader="dot" w:pos="9354"/>
        </w:tabs>
      </w:pPr>
      <w:hyperlink w:anchor="_Toc27441" w:history="1">
        <w:r>
          <w:rPr>
            <w:rFonts w:ascii="黑体" w:eastAsia="黑体" w:hint="eastAsia"/>
          </w:rPr>
          <w:t xml:space="preserve">3 </w:t>
        </w:r>
        <w:r>
          <w:rPr>
            <w:rFonts w:hint="eastAsia"/>
          </w:rPr>
          <w:t>术</w:t>
        </w:r>
        <w:r>
          <w:t>语和定</w:t>
        </w:r>
        <w:r>
          <w:rPr>
            <w:rFonts w:hint="eastAsia"/>
          </w:rPr>
          <w:t>义</w:t>
        </w:r>
        <w:r>
          <w:tab/>
        </w:r>
        <w:r>
          <w:fldChar w:fldCharType="begin"/>
        </w:r>
        <w:r>
          <w:instrText xml:space="preserve"> PAGEREF _Toc27441 \h </w:instrText>
        </w:r>
        <w:r>
          <w:fldChar w:fldCharType="separate"/>
        </w:r>
        <w:r>
          <w:t>1</w:t>
        </w:r>
        <w:r>
          <w:fldChar w:fldCharType="end"/>
        </w:r>
      </w:hyperlink>
    </w:p>
    <w:p w14:paraId="0EDBA347" w14:textId="77777777" w:rsidR="0035415A" w:rsidRDefault="00000000">
      <w:pPr>
        <w:pStyle w:val="TOC2"/>
        <w:tabs>
          <w:tab w:val="clear" w:pos="9241"/>
          <w:tab w:val="right" w:leader="dot" w:pos="9354"/>
        </w:tabs>
      </w:pPr>
      <w:hyperlink w:anchor="_Toc29293" w:history="1">
        <w:r>
          <w:rPr>
            <w:rFonts w:ascii="黑体" w:eastAsia="黑体" w:hint="eastAsia"/>
          </w:rPr>
          <w:t xml:space="preserve">4 </w:t>
        </w:r>
        <w:r>
          <w:rPr>
            <w:rFonts w:hint="eastAsia"/>
          </w:rPr>
          <w:t>参与主体</w:t>
        </w:r>
        <w:r>
          <w:tab/>
        </w:r>
        <w:r>
          <w:fldChar w:fldCharType="begin"/>
        </w:r>
        <w:r>
          <w:instrText xml:space="preserve"> PAGEREF _Toc29293 \h </w:instrText>
        </w:r>
        <w:r>
          <w:fldChar w:fldCharType="separate"/>
        </w:r>
        <w:r>
          <w:t>2</w:t>
        </w:r>
        <w:r>
          <w:fldChar w:fldCharType="end"/>
        </w:r>
      </w:hyperlink>
    </w:p>
    <w:p w14:paraId="1B138175" w14:textId="77777777" w:rsidR="0035415A" w:rsidRDefault="00000000">
      <w:pPr>
        <w:pStyle w:val="TOC2"/>
        <w:tabs>
          <w:tab w:val="clear" w:pos="9241"/>
          <w:tab w:val="right" w:leader="dot" w:pos="9354"/>
        </w:tabs>
      </w:pPr>
      <w:hyperlink w:anchor="_Toc29824" w:history="1">
        <w:r>
          <w:rPr>
            <w:rFonts w:ascii="黑体" w:eastAsia="黑体" w:hint="eastAsia"/>
          </w:rPr>
          <w:t xml:space="preserve">5 </w:t>
        </w:r>
        <w:r>
          <w:rPr>
            <w:rFonts w:hint="eastAsia"/>
          </w:rPr>
          <w:t>评价原则</w:t>
        </w:r>
        <w:r>
          <w:tab/>
        </w:r>
        <w:r>
          <w:fldChar w:fldCharType="begin"/>
        </w:r>
        <w:r>
          <w:instrText xml:space="preserve"> PAGEREF _Toc29824 \h </w:instrText>
        </w:r>
        <w:r>
          <w:fldChar w:fldCharType="separate"/>
        </w:r>
        <w:r>
          <w:t>2</w:t>
        </w:r>
        <w:r>
          <w:fldChar w:fldCharType="end"/>
        </w:r>
      </w:hyperlink>
    </w:p>
    <w:p w14:paraId="565A34DA" w14:textId="77777777" w:rsidR="0035415A" w:rsidRDefault="00000000">
      <w:pPr>
        <w:pStyle w:val="TOC2"/>
        <w:tabs>
          <w:tab w:val="clear" w:pos="9241"/>
          <w:tab w:val="right" w:leader="dot" w:pos="9354"/>
        </w:tabs>
      </w:pPr>
      <w:hyperlink w:anchor="_Toc28191" w:history="1">
        <w:r>
          <w:rPr>
            <w:rFonts w:ascii="黑体" w:eastAsia="黑体" w:hint="eastAsia"/>
          </w:rPr>
          <w:t xml:space="preserve">6 </w:t>
        </w:r>
        <w:r>
          <w:rPr>
            <w:rFonts w:hint="eastAsia"/>
          </w:rPr>
          <w:t>评价程序</w:t>
        </w:r>
        <w:r>
          <w:tab/>
        </w:r>
        <w:r>
          <w:fldChar w:fldCharType="begin"/>
        </w:r>
        <w:r>
          <w:instrText xml:space="preserve"> PAGEREF _Toc28191 \h </w:instrText>
        </w:r>
        <w:r>
          <w:fldChar w:fldCharType="separate"/>
        </w:r>
        <w:r>
          <w:t>3</w:t>
        </w:r>
        <w:r>
          <w:fldChar w:fldCharType="end"/>
        </w:r>
      </w:hyperlink>
    </w:p>
    <w:p w14:paraId="5DAA76BF" w14:textId="77777777" w:rsidR="0035415A" w:rsidRDefault="00000000">
      <w:pPr>
        <w:pStyle w:val="TOC2"/>
        <w:tabs>
          <w:tab w:val="clear" w:pos="9241"/>
          <w:tab w:val="right" w:leader="dot" w:pos="9354"/>
        </w:tabs>
      </w:pPr>
      <w:hyperlink w:anchor="_Toc27691" w:history="1">
        <w:r>
          <w:rPr>
            <w:rFonts w:ascii="黑体" w:eastAsia="黑体" w:hint="eastAsia"/>
          </w:rPr>
          <w:t xml:space="preserve">7 </w:t>
        </w:r>
        <w:r>
          <w:rPr>
            <w:rFonts w:hint="eastAsia"/>
          </w:rPr>
          <w:t>评价方法</w:t>
        </w:r>
        <w:r>
          <w:tab/>
        </w:r>
        <w:r>
          <w:fldChar w:fldCharType="begin"/>
        </w:r>
        <w:r>
          <w:instrText xml:space="preserve"> PAGEREF _Toc27691 \h </w:instrText>
        </w:r>
        <w:r>
          <w:fldChar w:fldCharType="separate"/>
        </w:r>
        <w:r>
          <w:t>3</w:t>
        </w:r>
        <w:r>
          <w:fldChar w:fldCharType="end"/>
        </w:r>
      </w:hyperlink>
    </w:p>
    <w:p w14:paraId="6F9A5846" w14:textId="77777777" w:rsidR="0035415A" w:rsidRDefault="00000000">
      <w:pPr>
        <w:pStyle w:val="TOC2"/>
        <w:tabs>
          <w:tab w:val="clear" w:pos="9241"/>
          <w:tab w:val="right" w:leader="dot" w:pos="9354"/>
        </w:tabs>
      </w:pPr>
      <w:hyperlink w:anchor="_Toc12798" w:history="1">
        <w:r>
          <w:rPr>
            <w:rFonts w:ascii="黑体" w:eastAsia="黑体" w:hint="eastAsia"/>
          </w:rPr>
          <w:t xml:space="preserve">8 </w:t>
        </w:r>
        <w:r>
          <w:rPr>
            <w:rFonts w:hint="eastAsia"/>
          </w:rPr>
          <w:t>评价等级</w:t>
        </w:r>
        <w:r>
          <w:tab/>
        </w:r>
        <w:r>
          <w:fldChar w:fldCharType="begin"/>
        </w:r>
        <w:r>
          <w:instrText xml:space="preserve"> PAGEREF _Toc12798 \h </w:instrText>
        </w:r>
        <w:r>
          <w:fldChar w:fldCharType="separate"/>
        </w:r>
        <w:r>
          <w:t>3</w:t>
        </w:r>
        <w:r>
          <w:fldChar w:fldCharType="end"/>
        </w:r>
      </w:hyperlink>
    </w:p>
    <w:p w14:paraId="0F395BEF" w14:textId="77777777" w:rsidR="0035415A" w:rsidRDefault="00000000">
      <w:pPr>
        <w:pStyle w:val="TOC2"/>
        <w:tabs>
          <w:tab w:val="clear" w:pos="9241"/>
          <w:tab w:val="right" w:leader="dot" w:pos="9354"/>
        </w:tabs>
      </w:pPr>
      <w:hyperlink w:anchor="_Toc24207" w:history="1">
        <w:r>
          <w:rPr>
            <w:rFonts w:ascii="黑体" w:eastAsia="黑体" w:hint="eastAsia"/>
          </w:rPr>
          <w:t xml:space="preserve">9 </w:t>
        </w:r>
        <w:r>
          <w:rPr>
            <w:rFonts w:hint="eastAsia"/>
          </w:rPr>
          <w:t>信用等级有效期</w:t>
        </w:r>
        <w:r>
          <w:tab/>
        </w:r>
        <w:r>
          <w:fldChar w:fldCharType="begin"/>
        </w:r>
        <w:r>
          <w:instrText xml:space="preserve"> PAGEREF _Toc24207 \h </w:instrText>
        </w:r>
        <w:r>
          <w:fldChar w:fldCharType="separate"/>
        </w:r>
        <w:r>
          <w:t>3</w:t>
        </w:r>
        <w:r>
          <w:fldChar w:fldCharType="end"/>
        </w:r>
      </w:hyperlink>
    </w:p>
    <w:p w14:paraId="2688A5E2" w14:textId="77777777" w:rsidR="0035415A" w:rsidRDefault="00000000">
      <w:pPr>
        <w:pStyle w:val="TOC2"/>
        <w:tabs>
          <w:tab w:val="clear" w:pos="9241"/>
          <w:tab w:val="right" w:leader="dot" w:pos="9354"/>
        </w:tabs>
      </w:pPr>
      <w:hyperlink w:anchor="_Toc25833" w:history="1">
        <w:r>
          <w:rPr>
            <w:rFonts w:ascii="黑体" w:eastAsia="黑体" w:hint="eastAsia"/>
          </w:rPr>
          <w:t xml:space="preserve">10 </w:t>
        </w:r>
        <w:r>
          <w:rPr>
            <w:rFonts w:hint="eastAsia"/>
          </w:rPr>
          <w:t>信用等级企业监测</w:t>
        </w:r>
        <w:r>
          <w:tab/>
        </w:r>
        <w:r>
          <w:fldChar w:fldCharType="begin"/>
        </w:r>
        <w:r>
          <w:instrText xml:space="preserve"> PAGEREF _Toc25833 \h </w:instrText>
        </w:r>
        <w:r>
          <w:fldChar w:fldCharType="separate"/>
        </w:r>
        <w:r>
          <w:t>4</w:t>
        </w:r>
        <w:r>
          <w:fldChar w:fldCharType="end"/>
        </w:r>
      </w:hyperlink>
    </w:p>
    <w:p w14:paraId="6350A292" w14:textId="77777777" w:rsidR="0035415A" w:rsidRDefault="00000000">
      <w:pPr>
        <w:pStyle w:val="TOC2"/>
        <w:tabs>
          <w:tab w:val="clear" w:pos="9241"/>
          <w:tab w:val="right" w:leader="dot" w:pos="9354"/>
        </w:tabs>
      </w:pPr>
      <w:hyperlink w:anchor="_Toc23334" w:history="1">
        <w:r>
          <w:rPr>
            <w:rFonts w:ascii="黑体" w:eastAsia="黑体" w:hint="eastAsia"/>
          </w:rPr>
          <w:t xml:space="preserve">11 </w:t>
        </w:r>
        <w:r>
          <w:rPr>
            <w:rFonts w:hint="eastAsia"/>
          </w:rPr>
          <w:t>评价指标</w:t>
        </w:r>
        <w:r>
          <w:tab/>
        </w:r>
        <w:r>
          <w:fldChar w:fldCharType="begin"/>
        </w:r>
        <w:r>
          <w:instrText xml:space="preserve"> PAGEREF _Toc23334 \h </w:instrText>
        </w:r>
        <w:r>
          <w:fldChar w:fldCharType="separate"/>
        </w:r>
        <w:r>
          <w:t>4</w:t>
        </w:r>
        <w:r>
          <w:fldChar w:fldCharType="end"/>
        </w:r>
      </w:hyperlink>
    </w:p>
    <w:p w14:paraId="2779A238" w14:textId="77777777" w:rsidR="0035415A" w:rsidRDefault="00000000">
      <w:pPr>
        <w:pStyle w:val="TOC1"/>
        <w:tabs>
          <w:tab w:val="clear" w:pos="9241"/>
          <w:tab w:val="right" w:leader="dot" w:pos="9354"/>
        </w:tabs>
        <w:spacing w:before="78" w:after="78"/>
      </w:pPr>
      <w:hyperlink w:anchor="_Toc5184" w:history="1">
        <w:r>
          <w:rPr>
            <w:rFonts w:ascii="黑体" w:eastAsia="黑体" w:hint="eastAsia"/>
          </w:rPr>
          <w:t xml:space="preserve">附　录　A </w:t>
        </w:r>
        <w:r>
          <w:t xml:space="preserve"> </w:t>
        </w:r>
        <w:r>
          <w:rPr>
            <w:rFonts w:hint="eastAsia"/>
          </w:rPr>
          <w:t>（规范性附录）</w:t>
        </w:r>
        <w:r>
          <w:t xml:space="preserve"> </w:t>
        </w:r>
        <w:r>
          <w:rPr>
            <w:rFonts w:hint="eastAsia"/>
          </w:rPr>
          <w:t>房地产开发企业信用评价指标体系</w:t>
        </w:r>
        <w:r>
          <w:tab/>
        </w:r>
        <w:r>
          <w:fldChar w:fldCharType="begin"/>
        </w:r>
        <w:r>
          <w:instrText xml:space="preserve"> PAGEREF _Toc5184 \h </w:instrText>
        </w:r>
        <w:r>
          <w:fldChar w:fldCharType="separate"/>
        </w:r>
        <w:r>
          <w:t>7</w:t>
        </w:r>
        <w:r>
          <w:fldChar w:fldCharType="end"/>
        </w:r>
      </w:hyperlink>
    </w:p>
    <w:p w14:paraId="0050F665" w14:textId="77777777" w:rsidR="0035415A" w:rsidRDefault="00000000">
      <w:pPr>
        <w:pStyle w:val="afffffe"/>
        <w:rPr>
          <w:rFonts w:ascii="Times New Roman"/>
        </w:rPr>
      </w:pPr>
      <w:r>
        <w:rPr>
          <w:rFonts w:ascii="Times New Roman" w:eastAsia="黑体"/>
        </w:rPr>
        <w:fldChar w:fldCharType="end"/>
      </w:r>
    </w:p>
    <w:p w14:paraId="3D092F13" w14:textId="77777777" w:rsidR="0035415A" w:rsidRDefault="00000000">
      <w:pPr>
        <w:pStyle w:val="affffff2"/>
      </w:pPr>
      <w:bookmarkStart w:id="11" w:name="_Toc26567"/>
      <w:bookmarkStart w:id="12" w:name="_Toc71478571"/>
      <w:bookmarkStart w:id="13" w:name="_Toc19903"/>
      <w:bookmarkStart w:id="14" w:name="_Toc32029"/>
      <w:bookmarkStart w:id="15" w:name="_Toc8430"/>
      <w:bookmarkStart w:id="16" w:name="_Toc21029"/>
      <w:bookmarkStart w:id="17" w:name="_Toc74143773"/>
      <w:r>
        <w:rPr>
          <w:rFonts w:hint="eastAsia"/>
        </w:rPr>
        <w:lastRenderedPageBreak/>
        <w:t>前</w:t>
      </w:r>
      <w:bookmarkStart w:id="18" w:name="BKQY"/>
      <w:r>
        <w:rPr>
          <w:rFonts w:hAnsi="黑体"/>
        </w:rPr>
        <w:t>  </w:t>
      </w:r>
      <w:r>
        <w:rPr>
          <w:rFonts w:hint="eastAsia"/>
        </w:rPr>
        <w:t>言</w:t>
      </w:r>
      <w:bookmarkEnd w:id="9"/>
      <w:bookmarkEnd w:id="10"/>
      <w:bookmarkEnd w:id="11"/>
      <w:bookmarkEnd w:id="12"/>
      <w:bookmarkEnd w:id="13"/>
      <w:bookmarkEnd w:id="14"/>
      <w:bookmarkEnd w:id="15"/>
      <w:bookmarkEnd w:id="16"/>
      <w:bookmarkEnd w:id="17"/>
      <w:bookmarkEnd w:id="18"/>
    </w:p>
    <w:p w14:paraId="245FB017" w14:textId="77777777" w:rsidR="0035415A" w:rsidRDefault="00000000">
      <w:pPr>
        <w:pStyle w:val="afff1"/>
      </w:pPr>
      <w:r>
        <w:rPr>
          <w:rFonts w:hint="eastAsia"/>
        </w:rPr>
        <w:t>本标准</w:t>
      </w:r>
      <w:r>
        <w:t>按照</w:t>
      </w:r>
      <w:r>
        <w:rPr>
          <w:rFonts w:hint="eastAsia"/>
        </w:rPr>
        <w:t>GB</w:t>
      </w:r>
      <w:r>
        <w:t>/</w:t>
      </w:r>
      <w:r>
        <w:rPr>
          <w:rFonts w:hint="eastAsia"/>
        </w:rPr>
        <w:t>T</w:t>
      </w:r>
      <w:r>
        <w:t xml:space="preserve"> 1.1</w:t>
      </w:r>
      <w:r>
        <w:t>—</w:t>
      </w:r>
      <w:r>
        <w:t>2020</w:t>
      </w:r>
      <w:r>
        <w:rPr>
          <w:rFonts w:hint="eastAsia"/>
        </w:rPr>
        <w:t>《标准化工作导则</w:t>
      </w:r>
      <w:r>
        <w:t xml:space="preserve"> </w:t>
      </w:r>
      <w:r>
        <w:rPr>
          <w:rFonts w:hint="eastAsia"/>
        </w:rPr>
        <w:t>第1部分：标准化文件的结构和起草规则》的</w:t>
      </w:r>
      <w:r>
        <w:t>规定起草</w:t>
      </w:r>
      <w:r>
        <w:rPr>
          <w:rFonts w:hint="eastAsia"/>
        </w:rPr>
        <w:t>。</w:t>
      </w:r>
    </w:p>
    <w:p w14:paraId="05F32F76" w14:textId="77777777" w:rsidR="0035415A" w:rsidRDefault="00000000">
      <w:pPr>
        <w:pStyle w:val="afff1"/>
      </w:pPr>
      <w:r>
        <w:rPr>
          <w:rFonts w:hint="eastAsia"/>
        </w:rPr>
        <w:t>请</w:t>
      </w:r>
      <w:r>
        <w:t>注意本</w:t>
      </w:r>
      <w:r>
        <w:rPr>
          <w:rFonts w:hint="eastAsia"/>
        </w:rPr>
        <w:t>标准</w:t>
      </w:r>
      <w:r>
        <w:t>的某些内容可能涉及专利</w:t>
      </w:r>
      <w:r>
        <w:rPr>
          <w:rFonts w:hint="eastAsia"/>
        </w:rPr>
        <w:t>。</w:t>
      </w:r>
      <w:r>
        <w:t>本</w:t>
      </w:r>
      <w:r>
        <w:rPr>
          <w:rFonts w:hint="eastAsia"/>
        </w:rPr>
        <w:t>标准</w:t>
      </w:r>
      <w:r>
        <w:t>的发布机构不承担</w:t>
      </w:r>
      <w:r>
        <w:rPr>
          <w:rFonts w:hint="eastAsia"/>
        </w:rPr>
        <w:t>识</w:t>
      </w:r>
      <w:r>
        <w:t>别专利</w:t>
      </w:r>
      <w:r>
        <w:rPr>
          <w:rFonts w:hint="eastAsia"/>
        </w:rPr>
        <w:t>的</w:t>
      </w:r>
      <w:r>
        <w:t>责任。</w:t>
      </w:r>
    </w:p>
    <w:p w14:paraId="5D7071D2" w14:textId="77777777" w:rsidR="0035415A" w:rsidRDefault="00000000">
      <w:pPr>
        <w:pStyle w:val="afff1"/>
      </w:pPr>
      <w:r>
        <w:rPr>
          <w:rFonts w:hint="eastAsia"/>
        </w:rPr>
        <w:t>本标准由中国房地产业协会提出并归口。</w:t>
      </w:r>
    </w:p>
    <w:p w14:paraId="3DCB68B8" w14:textId="77777777" w:rsidR="0035415A" w:rsidRDefault="00000000">
      <w:pPr>
        <w:pStyle w:val="afff1"/>
      </w:pPr>
      <w:r>
        <w:rPr>
          <w:rFonts w:hint="eastAsia"/>
        </w:rPr>
        <w:t>本标准</w:t>
      </w:r>
      <w:r>
        <w:t>起草</w:t>
      </w:r>
      <w:r>
        <w:rPr>
          <w:rFonts w:hint="eastAsia"/>
        </w:rPr>
        <w:t>单位</w:t>
      </w:r>
      <w:r>
        <w:t>：</w:t>
      </w:r>
      <w:r>
        <w:rPr>
          <w:rFonts w:hint="eastAsia"/>
        </w:rPr>
        <w:t>中国房地产业协会</w:t>
      </w:r>
      <w:r>
        <w:rPr>
          <w:rFonts w:asciiTheme="minorEastAsia" w:eastAsiaTheme="minorEastAsia" w:hAnsiTheme="minorEastAsia" w:hint="eastAsia"/>
        </w:rPr>
        <w:t>、清华大学。</w:t>
      </w:r>
    </w:p>
    <w:p w14:paraId="3F7D361B" w14:textId="77777777" w:rsidR="0035415A" w:rsidRDefault="00000000">
      <w:pPr>
        <w:pStyle w:val="afff1"/>
      </w:pPr>
      <w:r>
        <w:rPr>
          <w:rFonts w:hint="eastAsia"/>
        </w:rPr>
        <w:t>本标准</w:t>
      </w:r>
      <w:r>
        <w:t>主要起草</w:t>
      </w:r>
      <w:r>
        <w:rPr>
          <w:rFonts w:hint="eastAsia"/>
        </w:rPr>
        <w:t>人</w:t>
      </w:r>
      <w:r>
        <w:rPr>
          <w:rStyle w:val="afffc"/>
          <w:rFonts w:ascii="Times New Roman" w:hint="eastAsia"/>
          <w:kern w:val="2"/>
        </w:rPr>
        <w:t>（按姓氏笔画排序）</w:t>
      </w:r>
      <w:r>
        <w:t>：</w:t>
      </w:r>
    </w:p>
    <w:p w14:paraId="41918CCA" w14:textId="77777777" w:rsidR="0035415A" w:rsidRDefault="00000000">
      <w:pPr>
        <w:pStyle w:val="afff1"/>
      </w:pPr>
      <w:r>
        <w:rPr>
          <w:rFonts w:hint="eastAsia"/>
        </w:rPr>
        <w:t xml:space="preserve">王惠敏  </w:t>
      </w:r>
      <w:proofErr w:type="gramStart"/>
      <w:r>
        <w:rPr>
          <w:rFonts w:hint="eastAsia"/>
        </w:rPr>
        <w:t>许硕成</w:t>
      </w:r>
      <w:proofErr w:type="gramEnd"/>
      <w:r>
        <w:rPr>
          <w:rFonts w:hint="eastAsia"/>
        </w:rPr>
        <w:t xml:space="preserve">  孙梅石  杨  赞  张克胜  陈昱如  </w:t>
      </w:r>
      <w:proofErr w:type="gramStart"/>
      <w:r>
        <w:rPr>
          <w:rFonts w:hint="eastAsia"/>
        </w:rPr>
        <w:t>季如进</w:t>
      </w:r>
      <w:proofErr w:type="gramEnd"/>
      <w:r>
        <w:rPr>
          <w:rFonts w:hint="eastAsia"/>
        </w:rPr>
        <w:t xml:space="preserve">  荆兰竹</w:t>
      </w:r>
    </w:p>
    <w:p w14:paraId="07D2F934" w14:textId="77777777" w:rsidR="0035415A" w:rsidRDefault="00000000">
      <w:pPr>
        <w:pStyle w:val="afff1"/>
      </w:pPr>
      <w:r>
        <w:rPr>
          <w:rFonts w:hint="eastAsia"/>
        </w:rPr>
        <w:t>本标准</w:t>
      </w:r>
      <w:r>
        <w:t>为首次发布。</w:t>
      </w:r>
    </w:p>
    <w:p w14:paraId="43AEEEDF" w14:textId="77777777" w:rsidR="0035415A" w:rsidRDefault="0035415A">
      <w:pPr>
        <w:pStyle w:val="afff1"/>
      </w:pPr>
    </w:p>
    <w:p w14:paraId="290EB695" w14:textId="77777777" w:rsidR="0035415A" w:rsidRDefault="0035415A">
      <w:pPr>
        <w:pStyle w:val="afff1"/>
      </w:pPr>
    </w:p>
    <w:p w14:paraId="347F363D" w14:textId="77777777" w:rsidR="0035415A" w:rsidRDefault="00000000">
      <w:pPr>
        <w:pStyle w:val="affffff2"/>
      </w:pPr>
      <w:bookmarkStart w:id="19" w:name="_Toc11138"/>
      <w:bookmarkStart w:id="20" w:name="_Toc44414102"/>
      <w:bookmarkStart w:id="21" w:name="_Toc71478572"/>
      <w:bookmarkStart w:id="22" w:name="_Toc12540"/>
      <w:bookmarkStart w:id="23" w:name="_Toc5907"/>
      <w:bookmarkStart w:id="24" w:name="_Toc74143774"/>
      <w:bookmarkStart w:id="25" w:name="_Toc1346"/>
      <w:bookmarkStart w:id="26" w:name="_Toc52288515"/>
      <w:bookmarkStart w:id="27" w:name="_Toc28456"/>
      <w:r>
        <w:rPr>
          <w:rFonts w:hint="eastAsia"/>
        </w:rPr>
        <w:lastRenderedPageBreak/>
        <w:t>引</w:t>
      </w:r>
      <w:bookmarkStart w:id="28" w:name="BKYY"/>
      <w:r>
        <w:rPr>
          <w:rFonts w:hAnsi="黑体"/>
        </w:rPr>
        <w:t>  </w:t>
      </w:r>
      <w:r>
        <w:rPr>
          <w:rFonts w:hint="eastAsia"/>
        </w:rPr>
        <w:t>言</w:t>
      </w:r>
      <w:bookmarkEnd w:id="19"/>
      <w:bookmarkEnd w:id="20"/>
      <w:bookmarkEnd w:id="21"/>
      <w:bookmarkEnd w:id="22"/>
      <w:bookmarkEnd w:id="23"/>
      <w:bookmarkEnd w:id="24"/>
      <w:bookmarkEnd w:id="25"/>
      <w:bookmarkEnd w:id="26"/>
      <w:bookmarkEnd w:id="27"/>
      <w:bookmarkEnd w:id="28"/>
    </w:p>
    <w:p w14:paraId="0F50A046" w14:textId="77777777" w:rsidR="0035415A" w:rsidRDefault="00000000">
      <w:pPr>
        <w:pStyle w:val="afff1"/>
        <w:spacing w:line="360" w:lineRule="auto"/>
      </w:pPr>
      <w:r>
        <w:rPr>
          <w:rFonts w:hint="eastAsia"/>
        </w:rPr>
        <w:t>党的十八大以来，我国加快推进社会信用体系建设，着力构建以信用为基础的新型监管机制，提高各类主体诚信意识，优化营商环境，营造诚实守信的社会环境。</w:t>
      </w:r>
    </w:p>
    <w:p w14:paraId="2321564D" w14:textId="77777777" w:rsidR="0035415A" w:rsidRDefault="00000000">
      <w:pPr>
        <w:pStyle w:val="afff1"/>
        <w:spacing w:line="360" w:lineRule="auto"/>
      </w:pPr>
      <w:r>
        <w:rPr>
          <w:rFonts w:hint="eastAsia"/>
        </w:rPr>
        <w:t>2014年《社会信用体系建设规划纲要（2014-2020)》提出加强政务诚信建设、商务诚信建设，构建以信用为基础的新型监管机制，推进信用领域立法。通过一系列创新性、具体化措施，有力地推动了我国社会信用体系建设加速前行。2021年发布的《国民经济和社会发展第十四个五年规划和2035年远景目标纲要》，对进一步健全社会信用体系</w:t>
      </w:r>
      <w:proofErr w:type="gramStart"/>
      <w:r>
        <w:rPr>
          <w:rFonts w:hint="eastAsia"/>
        </w:rPr>
        <w:t>作出</w:t>
      </w:r>
      <w:proofErr w:type="gramEnd"/>
      <w:r>
        <w:rPr>
          <w:rFonts w:hint="eastAsia"/>
        </w:rPr>
        <w:t>了重要部署，提出建立健全信用法律法规和标准体系，完善失信主体信用修复机制，推广信用承诺制度，加强信用信息归集、共享、公开和应用等举措，推动信用服务市场健康发展。</w:t>
      </w:r>
    </w:p>
    <w:p w14:paraId="50F89CA4" w14:textId="77777777" w:rsidR="0035415A" w:rsidRDefault="00000000">
      <w:pPr>
        <w:pStyle w:val="afff1"/>
        <w:spacing w:line="360" w:lineRule="auto"/>
      </w:pPr>
      <w:r>
        <w:rPr>
          <w:rFonts w:hint="eastAsia"/>
        </w:rPr>
        <w:t>我国社会信用体系是一个全体社会成员共建共享的社会治理机制。行业协会既是自身信用建设的主体，也是行业信用建设的组织者、推动者，担负着推进行业信用建设的主体责任。民政部、中央编办、发展改革委等八部门《关于推进行业协会商会诚信自律建设工作的意见》（民发〔2</w:t>
      </w:r>
      <w:r>
        <w:t>014</w:t>
      </w:r>
      <w:r>
        <w:rPr>
          <w:rFonts w:hint="eastAsia"/>
        </w:rPr>
        <w:t>〕225号）指出，行业协会商会应根据行业发展要求及行业特点，依法开展行业信用评价。商务部信用工作办公室、国资委行业协会联系办公室《关于进一步做好行业协会信用评价工作的意见》（商信用〔2</w:t>
      </w:r>
      <w:r>
        <w:t>01</w:t>
      </w:r>
      <w:r>
        <w:rPr>
          <w:rFonts w:hint="eastAsia"/>
        </w:rPr>
        <w:t>5〕1号）指出，要加快构建以行业组织为主体、第三方机构为支撑、企业广泛参与、政府指导规范、社会监督保障的“五位一体”行业信用体系。国</w:t>
      </w:r>
      <w:r>
        <w:rPr>
          <w:rFonts w:hint="eastAsia"/>
          <w:lang w:bidi="ar"/>
        </w:rPr>
        <w:t>家发展改革委、人民银行关于印发《全国公共信用信息基础目录（2021年版）》和《全国失信惩戒措施基础清单（2021年版）》的通知（</w:t>
      </w:r>
      <w:proofErr w:type="gramStart"/>
      <w:r>
        <w:rPr>
          <w:rFonts w:hint="eastAsia"/>
          <w:lang w:bidi="ar"/>
        </w:rPr>
        <w:t>发改财金规</w:t>
      </w:r>
      <w:proofErr w:type="gramEnd"/>
      <w:r>
        <w:rPr>
          <w:rFonts w:hint="eastAsia"/>
          <w:lang w:bidi="ar"/>
        </w:rPr>
        <w:t>〔2021〕1827号），</w:t>
      </w:r>
      <w:r>
        <w:rPr>
          <w:rFonts w:hint="eastAsia"/>
        </w:rPr>
        <w:t>将信用评价结果信息纳入公共信用信息范围。</w:t>
      </w:r>
    </w:p>
    <w:p w14:paraId="6C9E2328" w14:textId="77777777" w:rsidR="0035415A" w:rsidRDefault="00000000">
      <w:pPr>
        <w:pStyle w:val="afff1"/>
        <w:spacing w:line="360" w:lineRule="auto"/>
        <w:sectPr w:rsidR="0035415A">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bookmarkStart w:id="29" w:name="OLE_LINK1"/>
      <w:r>
        <w:rPr>
          <w:rFonts w:hint="eastAsia"/>
        </w:rPr>
        <w:t>为贯彻落实我国社会信用体系建设总体发展要求，加快推进房地产行业信用体系建设，规范和促进房地产行业信用评价工作，提升行业信用评价效率，</w:t>
      </w:r>
      <w:bookmarkStart w:id="30" w:name="OLE_LINK2"/>
      <w:r>
        <w:rPr>
          <w:rFonts w:hint="eastAsia"/>
        </w:rPr>
        <w:t>制定本标准</w:t>
      </w:r>
      <w:bookmarkEnd w:id="29"/>
      <w:bookmarkEnd w:id="30"/>
      <w:r>
        <w:rPr>
          <w:rFonts w:hint="eastAsia"/>
        </w:rPr>
        <w:t>。</w:t>
      </w:r>
    </w:p>
    <w:p w14:paraId="09B79EBC" w14:textId="77777777" w:rsidR="0035415A" w:rsidRDefault="0035415A">
      <w:pPr>
        <w:pStyle w:val="afff1"/>
        <w:ind w:firstLineChars="0" w:firstLine="0"/>
        <w:sectPr w:rsidR="0035415A">
          <w:type w:val="continuous"/>
          <w:pgSz w:w="11906" w:h="16838"/>
          <w:pgMar w:top="567" w:right="1134" w:bottom="1134" w:left="1418" w:header="1418" w:footer="1134" w:gutter="0"/>
          <w:pgNumType w:start="1"/>
          <w:cols w:space="425"/>
          <w:formProt w:val="0"/>
          <w:docGrid w:type="lines" w:linePitch="312"/>
        </w:sectPr>
      </w:pPr>
    </w:p>
    <w:bookmarkStart w:id="31" w:name="_Toc12847"/>
    <w:bookmarkStart w:id="32" w:name="_Toc11720"/>
    <w:bookmarkStart w:id="33" w:name="_Toc30171"/>
    <w:bookmarkStart w:id="34" w:name="_Toc13451"/>
    <w:bookmarkStart w:id="35" w:name="_Toc3754"/>
    <w:bookmarkStart w:id="36" w:name="_Toc11629"/>
    <w:p w14:paraId="645146AB" w14:textId="77777777" w:rsidR="0035415A" w:rsidRDefault="00000000">
      <w:pPr>
        <w:pStyle w:val="affff0"/>
        <w:outlineLvl w:val="9"/>
      </w:pPr>
      <w:sdt>
        <w:sdtPr>
          <w:rPr>
            <w:rFonts w:hint="eastAsia"/>
          </w:rPr>
          <w:alias w:val="标准名称"/>
          <w:tag w:val="标准名称"/>
          <w:id w:val="1795105741"/>
          <w:lock w:val="sdtLocked"/>
          <w:placeholder>
            <w:docPart w:val="111"/>
          </w:placeholder>
          <w:text w:multiLine="1"/>
        </w:sdtPr>
        <w:sdtContent>
          <w:r>
            <w:rPr>
              <w:rFonts w:hint="eastAsia"/>
            </w:rPr>
            <w:t>房地产开发企业信用评价标准</w:t>
          </w:r>
        </w:sdtContent>
      </w:sdt>
      <w:bookmarkStart w:id="37" w:name="StandardName"/>
      <w:bookmarkEnd w:id="31"/>
      <w:bookmarkEnd w:id="32"/>
      <w:bookmarkEnd w:id="33"/>
      <w:bookmarkEnd w:id="34"/>
      <w:bookmarkEnd w:id="35"/>
      <w:bookmarkEnd w:id="36"/>
      <w:bookmarkEnd w:id="37"/>
    </w:p>
    <w:p w14:paraId="1D110D0D" w14:textId="77777777" w:rsidR="0035415A" w:rsidRDefault="00000000">
      <w:pPr>
        <w:pStyle w:val="a1"/>
        <w:spacing w:before="312" w:after="312"/>
      </w:pPr>
      <w:bookmarkStart w:id="38" w:name="_Toc74143775"/>
      <w:bookmarkStart w:id="39" w:name="_Toc27471"/>
      <w:bookmarkStart w:id="40" w:name="_Toc6971"/>
      <w:bookmarkStart w:id="41" w:name="_Toc44414103"/>
      <w:bookmarkStart w:id="42" w:name="_Toc52288516"/>
      <w:bookmarkStart w:id="43" w:name="_Toc71478573"/>
      <w:bookmarkStart w:id="44" w:name="_Toc16776"/>
      <w:bookmarkStart w:id="45" w:name="_Toc17934"/>
      <w:bookmarkStart w:id="46" w:name="_Toc10826"/>
      <w:r>
        <w:rPr>
          <w:rFonts w:hint="eastAsia"/>
        </w:rPr>
        <w:t>范围</w:t>
      </w:r>
      <w:bookmarkEnd w:id="38"/>
      <w:bookmarkEnd w:id="39"/>
      <w:bookmarkEnd w:id="40"/>
      <w:bookmarkEnd w:id="41"/>
      <w:bookmarkEnd w:id="42"/>
      <w:bookmarkEnd w:id="43"/>
      <w:bookmarkEnd w:id="44"/>
      <w:bookmarkEnd w:id="45"/>
      <w:bookmarkEnd w:id="46"/>
    </w:p>
    <w:p w14:paraId="322E7A06" w14:textId="77777777" w:rsidR="0035415A" w:rsidRDefault="00000000">
      <w:pPr>
        <w:pStyle w:val="afff1"/>
      </w:pPr>
      <w:r>
        <w:rPr>
          <w:rFonts w:hint="eastAsia"/>
        </w:rPr>
        <w:t>本标准规定了房地产开发企业信用评价的术语和定义、评价原则、评价程序、评价等级和评价指标。</w:t>
      </w:r>
    </w:p>
    <w:p w14:paraId="3C0C0AE7" w14:textId="77777777" w:rsidR="0035415A" w:rsidRDefault="00000000">
      <w:pPr>
        <w:pStyle w:val="afff1"/>
      </w:pPr>
      <w:r>
        <w:rPr>
          <w:rFonts w:hint="eastAsia"/>
        </w:rPr>
        <w:t>本标准适用于行业组织、相关单位开展的房地产开发企业信用评价活动，房地产行业其他类型企业信用评价工作可参照使用。</w:t>
      </w:r>
    </w:p>
    <w:p w14:paraId="350B07C6" w14:textId="77777777" w:rsidR="0035415A" w:rsidRDefault="00000000">
      <w:pPr>
        <w:pStyle w:val="a1"/>
        <w:spacing w:before="312" w:after="312"/>
      </w:pPr>
      <w:bookmarkStart w:id="47" w:name="_Toc26051"/>
      <w:bookmarkStart w:id="48" w:name="_Toc11708"/>
      <w:bookmarkStart w:id="49" w:name="_Toc74143776"/>
      <w:bookmarkStart w:id="50" w:name="_Toc52288517"/>
      <w:bookmarkStart w:id="51" w:name="_Toc31290"/>
      <w:bookmarkStart w:id="52" w:name="_Toc26376"/>
      <w:bookmarkStart w:id="53" w:name="_Toc22364"/>
      <w:bookmarkStart w:id="54" w:name="_Toc71478574"/>
      <w:bookmarkStart w:id="55" w:name="_Toc44414104"/>
      <w:r>
        <w:rPr>
          <w:rFonts w:hint="eastAsia"/>
        </w:rPr>
        <w:t>规范性引用文件</w:t>
      </w:r>
      <w:bookmarkEnd w:id="47"/>
      <w:bookmarkEnd w:id="48"/>
      <w:bookmarkEnd w:id="49"/>
      <w:bookmarkEnd w:id="50"/>
      <w:bookmarkEnd w:id="51"/>
      <w:bookmarkEnd w:id="52"/>
      <w:bookmarkEnd w:id="53"/>
      <w:bookmarkEnd w:id="54"/>
      <w:bookmarkEnd w:id="55"/>
    </w:p>
    <w:p w14:paraId="03361831" w14:textId="77777777" w:rsidR="0035415A" w:rsidRDefault="00000000">
      <w:pPr>
        <w:pStyle w:val="afff1"/>
      </w:pPr>
      <w:r>
        <w:rPr>
          <w:rFonts w:hint="eastAsia"/>
        </w:rPr>
        <w:t>下列文件中的</w:t>
      </w:r>
      <w:r>
        <w:t>内容</w:t>
      </w:r>
      <w:r>
        <w:rPr>
          <w:rFonts w:hint="eastAsia"/>
        </w:rPr>
        <w:t>通</w:t>
      </w:r>
      <w:r>
        <w:t>过文</w:t>
      </w:r>
      <w:r>
        <w:rPr>
          <w:rFonts w:hint="eastAsia"/>
        </w:rPr>
        <w:t>中</w:t>
      </w:r>
      <w:r>
        <w:t>的</w:t>
      </w:r>
      <w:r>
        <w:rPr>
          <w:rFonts w:hint="eastAsia"/>
        </w:rPr>
        <w:t>规范</w:t>
      </w:r>
      <w:r>
        <w:t>性引</w:t>
      </w:r>
      <w:r>
        <w:rPr>
          <w:rFonts w:hint="eastAsia"/>
        </w:rPr>
        <w:t>用</w:t>
      </w:r>
      <w:r>
        <w:t>而构成</w:t>
      </w:r>
      <w:r>
        <w:rPr>
          <w:rFonts w:hint="eastAsia"/>
        </w:rPr>
        <w:t>本标准必不可少的条</w:t>
      </w:r>
      <w:r>
        <w:t>款</w:t>
      </w:r>
      <w:r>
        <w:rPr>
          <w:rFonts w:hint="eastAsia"/>
        </w:rPr>
        <w:t>。其中</w:t>
      </w:r>
      <w:r>
        <w:t>，</w:t>
      </w:r>
      <w:r>
        <w:rPr>
          <w:rFonts w:hint="eastAsia"/>
        </w:rPr>
        <w:t>注日期的引用文件，仅该日期对</w:t>
      </w:r>
      <w:r>
        <w:t>应</w:t>
      </w:r>
      <w:r>
        <w:rPr>
          <w:rFonts w:hint="eastAsia"/>
        </w:rPr>
        <w:t>的版本适用于本标准；不注日期的引用文件，其最新版本（包括所有的修改单）适用于本标准。</w:t>
      </w:r>
    </w:p>
    <w:p w14:paraId="4D4ABA6F" w14:textId="77777777" w:rsidR="0035415A" w:rsidRDefault="00000000">
      <w:pPr>
        <w:pStyle w:val="afff1"/>
      </w:pPr>
      <w:r>
        <w:t>GB/T 22117</w:t>
      </w:r>
      <w:r>
        <w:rPr>
          <w:rFonts w:hint="eastAsia"/>
        </w:rPr>
        <w:t>-</w:t>
      </w:r>
      <w:r>
        <w:t xml:space="preserve">2018     </w:t>
      </w:r>
      <w:r>
        <w:rPr>
          <w:rFonts w:hint="eastAsia"/>
        </w:rPr>
        <w:t>信用基本术语</w:t>
      </w:r>
    </w:p>
    <w:p w14:paraId="46DF1BBA" w14:textId="77777777" w:rsidR="0035415A" w:rsidRDefault="00000000">
      <w:pPr>
        <w:pStyle w:val="afff1"/>
      </w:pPr>
      <w:r>
        <w:t>GB/T 4754</w:t>
      </w:r>
      <w:r>
        <w:rPr>
          <w:rFonts w:hint="eastAsia"/>
        </w:rPr>
        <w:t>-</w:t>
      </w:r>
      <w:r>
        <w:t xml:space="preserve">2017  </w:t>
      </w:r>
      <w:r>
        <w:rPr>
          <w:rFonts w:hint="eastAsia"/>
        </w:rPr>
        <w:t xml:space="preserve"> </w:t>
      </w:r>
      <w:r>
        <w:t xml:space="preserve">   </w:t>
      </w:r>
      <w:r>
        <w:rPr>
          <w:rFonts w:hint="eastAsia"/>
        </w:rPr>
        <w:t>国民经济行业分类</w:t>
      </w:r>
    </w:p>
    <w:p w14:paraId="78379286" w14:textId="77777777" w:rsidR="0035415A" w:rsidRDefault="00000000">
      <w:pPr>
        <w:pStyle w:val="afff1"/>
      </w:pPr>
      <w:bookmarkStart w:id="56" w:name="_Hlk65235267"/>
      <w:bookmarkStart w:id="57" w:name="_Hlk71465862"/>
      <w:r>
        <w:rPr>
          <w:rFonts w:hint="eastAsia"/>
        </w:rPr>
        <w:t>GB/T 23794-2015</w:t>
      </w:r>
      <w:bookmarkEnd w:id="56"/>
      <w:r>
        <w:rPr>
          <w:rFonts w:hint="eastAsia"/>
        </w:rPr>
        <w:t xml:space="preserve">  </w:t>
      </w:r>
      <w:r>
        <w:t xml:space="preserve">   </w:t>
      </w:r>
      <w:r>
        <w:rPr>
          <w:rFonts w:hint="eastAsia"/>
        </w:rPr>
        <w:t>企业信用评价指标</w:t>
      </w:r>
    </w:p>
    <w:bookmarkEnd w:id="57"/>
    <w:p w14:paraId="06FD045C" w14:textId="77777777" w:rsidR="0035415A" w:rsidRDefault="00000000">
      <w:pPr>
        <w:pStyle w:val="afff1"/>
      </w:pPr>
      <w:r>
        <w:rPr>
          <w:rFonts w:hint="eastAsia"/>
        </w:rPr>
        <w:t>GB/T CCA9002-2009   企业信用评价规范</w:t>
      </w:r>
    </w:p>
    <w:p w14:paraId="339D03A1" w14:textId="77777777" w:rsidR="0035415A" w:rsidRDefault="00000000">
      <w:pPr>
        <w:pStyle w:val="afff1"/>
      </w:pPr>
      <w:r>
        <w:t xml:space="preserve">GB/T 22116-2008     </w:t>
      </w:r>
      <w:r>
        <w:rPr>
          <w:rFonts w:hint="eastAsia"/>
        </w:rPr>
        <w:t>企业信用等级表示方法</w:t>
      </w:r>
    </w:p>
    <w:p w14:paraId="29A118E6" w14:textId="77777777" w:rsidR="0035415A" w:rsidRDefault="00000000">
      <w:pPr>
        <w:pStyle w:val="afff1"/>
      </w:pPr>
      <w:r>
        <w:t xml:space="preserve">JGJ/T30-2015        </w:t>
      </w:r>
      <w:r>
        <w:rPr>
          <w:rFonts w:hint="eastAsia"/>
        </w:rPr>
        <w:t>房地产业基本术语标准</w:t>
      </w:r>
    </w:p>
    <w:p w14:paraId="2444E821" w14:textId="77777777" w:rsidR="0035415A" w:rsidRDefault="00000000">
      <w:pPr>
        <w:pStyle w:val="a1"/>
        <w:spacing w:before="312" w:after="312"/>
      </w:pPr>
      <w:bookmarkStart w:id="58" w:name="_Toc27441"/>
      <w:bookmarkStart w:id="59" w:name="_Toc44414105"/>
      <w:bookmarkStart w:id="60" w:name="_Toc10475"/>
      <w:bookmarkStart w:id="61" w:name="_Toc19766"/>
      <w:bookmarkStart w:id="62" w:name="_Toc11211"/>
      <w:bookmarkStart w:id="63" w:name="_Toc20969"/>
      <w:bookmarkStart w:id="64" w:name="_Toc71478575"/>
      <w:bookmarkStart w:id="65" w:name="_Toc74143777"/>
      <w:bookmarkStart w:id="66" w:name="_Toc52288518"/>
      <w:r>
        <w:rPr>
          <w:rFonts w:hint="eastAsia"/>
        </w:rPr>
        <w:t>术</w:t>
      </w:r>
      <w:r>
        <w:t>语和定</w:t>
      </w:r>
      <w:r>
        <w:rPr>
          <w:rFonts w:hint="eastAsia"/>
        </w:rPr>
        <w:t>义</w:t>
      </w:r>
      <w:bookmarkEnd w:id="58"/>
      <w:bookmarkEnd w:id="59"/>
      <w:bookmarkEnd w:id="60"/>
      <w:bookmarkEnd w:id="61"/>
      <w:bookmarkEnd w:id="62"/>
      <w:bookmarkEnd w:id="63"/>
      <w:bookmarkEnd w:id="64"/>
      <w:bookmarkEnd w:id="65"/>
      <w:bookmarkEnd w:id="66"/>
    </w:p>
    <w:p w14:paraId="0289F2CA" w14:textId="77777777" w:rsidR="0035415A" w:rsidRDefault="00000000">
      <w:pPr>
        <w:pStyle w:val="afff1"/>
      </w:pPr>
      <w:r>
        <w:t>下列术语和定义适用于本</w:t>
      </w:r>
      <w:r>
        <w:rPr>
          <w:rFonts w:hint="eastAsia"/>
        </w:rPr>
        <w:t>标准</w:t>
      </w:r>
      <w:r>
        <w:t>。</w:t>
      </w:r>
    </w:p>
    <w:p w14:paraId="0133D6B9" w14:textId="77777777" w:rsidR="0035415A" w:rsidRDefault="0035415A">
      <w:pPr>
        <w:pStyle w:val="a2"/>
        <w:spacing w:before="156" w:after="156"/>
      </w:pPr>
    </w:p>
    <w:p w14:paraId="3CC1388C" w14:textId="77777777" w:rsidR="0035415A" w:rsidRDefault="00000000">
      <w:pPr>
        <w:pStyle w:val="afff1"/>
        <w:rPr>
          <w:rStyle w:val="afff6"/>
          <w:rFonts w:ascii="黑体" w:eastAsia="黑体" w:hAnsi="黑体"/>
          <w:b w:val="0"/>
          <w:bCs w:val="0"/>
        </w:rPr>
      </w:pPr>
      <w:r>
        <w:rPr>
          <w:rStyle w:val="afff6"/>
          <w:rFonts w:ascii="黑体" w:eastAsia="黑体" w:hAnsi="黑体" w:hint="eastAsia"/>
          <w:b w:val="0"/>
          <w:bCs w:val="0"/>
        </w:rPr>
        <w:t xml:space="preserve">信用 </w:t>
      </w:r>
      <w:r>
        <w:rPr>
          <w:rStyle w:val="afff6"/>
          <w:rFonts w:ascii="Times New Roman" w:eastAsia="黑体"/>
        </w:rPr>
        <w:t>credit</w:t>
      </w:r>
    </w:p>
    <w:p w14:paraId="5BA32C51" w14:textId="77777777" w:rsidR="0035415A" w:rsidRDefault="00000000">
      <w:pPr>
        <w:pStyle w:val="afff1"/>
      </w:pPr>
      <w:r>
        <w:rPr>
          <w:rFonts w:hint="eastAsia"/>
        </w:rPr>
        <w:t>个人或组织履行承诺的意愿和能力。</w:t>
      </w:r>
    </w:p>
    <w:p w14:paraId="1DE807E1" w14:textId="77777777" w:rsidR="0035415A" w:rsidRDefault="00000000">
      <w:pPr>
        <w:pStyle w:val="aff"/>
        <w:numPr>
          <w:ilvl w:val="0"/>
          <w:numId w:val="0"/>
        </w:numPr>
        <w:ind w:left="454"/>
      </w:pPr>
      <w:r>
        <w:rPr>
          <w:rFonts w:ascii="黑体" w:eastAsia="黑体" w:hAnsi="黑体" w:hint="eastAsia"/>
        </w:rPr>
        <w:t>注1</w:t>
      </w:r>
      <w:r>
        <w:rPr>
          <w:rFonts w:hint="eastAsia"/>
        </w:rPr>
        <w:t>：承诺包括法律法规和强制性标准规定的、合同条款等契约约定的、社会合理期望等社会责任的内容。</w:t>
      </w:r>
    </w:p>
    <w:p w14:paraId="6982FE27" w14:textId="77777777" w:rsidR="0035415A" w:rsidRDefault="00000000">
      <w:pPr>
        <w:pStyle w:val="aff"/>
        <w:numPr>
          <w:ilvl w:val="0"/>
          <w:numId w:val="0"/>
        </w:numPr>
        <w:ind w:leftChars="220" w:left="1002" w:hangingChars="300" w:hanging="540"/>
      </w:pPr>
      <w:r>
        <w:rPr>
          <w:rFonts w:ascii="黑体" w:eastAsia="黑体" w:hAnsi="黑体" w:hint="eastAsia"/>
        </w:rPr>
        <w:t>注2</w:t>
      </w:r>
      <w:r>
        <w:rPr>
          <w:rFonts w:hint="eastAsia"/>
        </w:rPr>
        <w:t>：在经济领域，信用的含义等同于交易信用，是指交易各方在信任的基础上，不用立即付款或担保就可获得资</w:t>
      </w:r>
      <w:r>
        <w:br/>
      </w:r>
      <w:r>
        <w:rPr>
          <w:rFonts w:hint="eastAsia"/>
        </w:rPr>
        <w:t>金、物资或服务的能力。这种能力以在约定期限内履约为条件，并可以使用货币单位直接度量。</w:t>
      </w:r>
    </w:p>
    <w:p w14:paraId="615D1FF1" w14:textId="77777777" w:rsidR="0035415A" w:rsidRDefault="00000000">
      <w:pPr>
        <w:pStyle w:val="aff"/>
        <w:numPr>
          <w:ilvl w:val="0"/>
          <w:numId w:val="0"/>
        </w:numPr>
        <w:ind w:left="454"/>
      </w:pPr>
      <w:r>
        <w:rPr>
          <w:rFonts w:ascii="黑体" w:eastAsia="黑体" w:hAnsi="黑体" w:hint="eastAsia"/>
        </w:rPr>
        <w:t>注</w:t>
      </w:r>
      <w:r>
        <w:rPr>
          <w:rFonts w:ascii="黑体" w:eastAsia="黑体" w:hAnsi="黑体"/>
        </w:rPr>
        <w:t>3</w:t>
      </w:r>
      <w:r>
        <w:rPr>
          <w:rFonts w:hint="eastAsia"/>
        </w:rPr>
        <w:t>：在社会领域，信用难以用货币度量。</w:t>
      </w:r>
    </w:p>
    <w:p w14:paraId="4C9F5178" w14:textId="77777777" w:rsidR="0035415A" w:rsidRDefault="0035415A">
      <w:pPr>
        <w:pStyle w:val="a2"/>
        <w:spacing w:before="156" w:after="156"/>
      </w:pPr>
    </w:p>
    <w:p w14:paraId="1705382C" w14:textId="77777777" w:rsidR="0035415A" w:rsidRDefault="00000000">
      <w:pPr>
        <w:pStyle w:val="afff1"/>
        <w:rPr>
          <w:rStyle w:val="afff6"/>
          <w:rFonts w:ascii="黑体" w:eastAsia="黑体" w:hAnsi="黑体"/>
          <w:b w:val="0"/>
          <w:bCs w:val="0"/>
        </w:rPr>
      </w:pPr>
      <w:r>
        <w:rPr>
          <w:rStyle w:val="afff6"/>
          <w:rFonts w:ascii="黑体" w:eastAsia="黑体" w:hAnsi="黑体" w:hint="eastAsia"/>
          <w:b w:val="0"/>
          <w:bCs w:val="0"/>
        </w:rPr>
        <w:t xml:space="preserve">企业信用 </w:t>
      </w:r>
      <w:r>
        <w:rPr>
          <w:rStyle w:val="afff6"/>
          <w:rFonts w:ascii="Times New Roman" w:eastAsia="黑体"/>
        </w:rPr>
        <w:t>enterprise credit</w:t>
      </w:r>
    </w:p>
    <w:p w14:paraId="3E489FB7" w14:textId="77777777" w:rsidR="0035415A" w:rsidRDefault="00000000">
      <w:pPr>
        <w:pStyle w:val="afff1"/>
      </w:pPr>
      <w:r>
        <w:rPr>
          <w:rFonts w:hint="eastAsia"/>
        </w:rPr>
        <w:t>企业履行承诺的意愿和能力。</w:t>
      </w:r>
    </w:p>
    <w:p w14:paraId="0323FE02" w14:textId="77777777" w:rsidR="0035415A" w:rsidRDefault="00000000">
      <w:pPr>
        <w:pStyle w:val="aff"/>
        <w:numPr>
          <w:ilvl w:val="0"/>
          <w:numId w:val="0"/>
        </w:numPr>
        <w:ind w:left="454"/>
      </w:pPr>
      <w:r>
        <w:rPr>
          <w:rFonts w:ascii="黑体" w:eastAsia="黑体" w:hAnsi="黑体" w:hint="eastAsia"/>
        </w:rPr>
        <w:t>注1</w:t>
      </w:r>
      <w:r>
        <w:rPr>
          <w:rFonts w:hint="eastAsia"/>
        </w:rPr>
        <w:t>：在经济领域，企业信用是指企业履行合同、偿还其到期债务的意愿和能力。</w:t>
      </w:r>
    </w:p>
    <w:p w14:paraId="16D453FE" w14:textId="77777777" w:rsidR="0035415A" w:rsidRDefault="00000000">
      <w:pPr>
        <w:pStyle w:val="aff"/>
        <w:numPr>
          <w:ilvl w:val="0"/>
          <w:numId w:val="0"/>
        </w:numPr>
        <w:ind w:left="454"/>
      </w:pPr>
      <w:r>
        <w:rPr>
          <w:rFonts w:ascii="黑体" w:eastAsia="黑体" w:hAnsi="黑体" w:hint="eastAsia"/>
        </w:rPr>
        <w:t>注2</w:t>
      </w:r>
      <w:r>
        <w:rPr>
          <w:rFonts w:hint="eastAsia"/>
        </w:rPr>
        <w:t>：在社会领域，企业信用是指企业在经营和管理过程中执行国家相关法律、法规、标准及政策，遵守正常市场交易规则，履行社会责任，信守社会承诺的意愿和能力。</w:t>
      </w:r>
    </w:p>
    <w:p w14:paraId="6AA6F2C4" w14:textId="77777777" w:rsidR="0035415A" w:rsidRDefault="0035415A">
      <w:pPr>
        <w:pStyle w:val="a2"/>
        <w:spacing w:before="156" w:after="156"/>
      </w:pPr>
    </w:p>
    <w:p w14:paraId="21BC4297" w14:textId="77777777" w:rsidR="0035415A" w:rsidRDefault="00000000">
      <w:pPr>
        <w:pStyle w:val="afff1"/>
        <w:rPr>
          <w:rStyle w:val="afff6"/>
          <w:rFonts w:ascii="Times New Roman" w:eastAsia="黑体"/>
          <w:b w:val="0"/>
          <w:bCs w:val="0"/>
        </w:rPr>
      </w:pPr>
      <w:r>
        <w:rPr>
          <w:rStyle w:val="afff6"/>
          <w:rFonts w:ascii="黑体" w:eastAsia="黑体" w:hAnsi="黑体"/>
          <w:b w:val="0"/>
          <w:bCs w:val="0"/>
        </w:rPr>
        <w:t>房地产开发企业</w:t>
      </w:r>
      <w:r>
        <w:rPr>
          <w:rStyle w:val="afff6"/>
          <w:rFonts w:ascii="黑体" w:eastAsia="黑体" w:hAnsi="黑体" w:hint="eastAsia"/>
          <w:b w:val="0"/>
          <w:bCs w:val="0"/>
        </w:rPr>
        <w:t xml:space="preserve"> </w:t>
      </w:r>
      <w:r>
        <w:rPr>
          <w:rStyle w:val="afff6"/>
          <w:rFonts w:ascii="Times New Roman" w:eastAsia="黑体"/>
        </w:rPr>
        <w:t xml:space="preserve">real </w:t>
      </w:r>
      <w:r>
        <w:rPr>
          <w:rStyle w:val="afff6"/>
          <w:rFonts w:ascii="Times New Roman" w:eastAsia="黑体" w:hint="eastAsia"/>
        </w:rPr>
        <w:t>estate</w:t>
      </w:r>
      <w:r>
        <w:rPr>
          <w:rStyle w:val="afff6"/>
          <w:rFonts w:ascii="Times New Roman" w:eastAsia="黑体"/>
        </w:rPr>
        <w:t xml:space="preserve"> development enterprise</w:t>
      </w:r>
    </w:p>
    <w:p w14:paraId="4E535839" w14:textId="77777777" w:rsidR="0035415A" w:rsidRDefault="00000000">
      <w:pPr>
        <w:pStyle w:val="afff1"/>
      </w:pPr>
      <w:r>
        <w:rPr>
          <w:rFonts w:hint="eastAsia"/>
        </w:rPr>
        <w:t>指依法设立的，从事房地产开发、经营、管理和服务活动，具有企业法人资格的经济实体。</w:t>
      </w:r>
    </w:p>
    <w:p w14:paraId="6E6C537A" w14:textId="77777777" w:rsidR="0035415A" w:rsidRDefault="00000000">
      <w:pPr>
        <w:pStyle w:val="aff"/>
        <w:numPr>
          <w:ilvl w:val="0"/>
          <w:numId w:val="0"/>
        </w:numPr>
        <w:ind w:left="397"/>
      </w:pPr>
      <w:r>
        <w:rPr>
          <w:rFonts w:ascii="黑体" w:eastAsia="黑体" w:hAnsi="黑体" w:hint="eastAsia"/>
        </w:rPr>
        <w:t>注</w:t>
      </w:r>
      <w:r>
        <w:rPr>
          <w:rFonts w:hint="eastAsia"/>
        </w:rPr>
        <w:t>：房地产开发企业应至少具备下列条件：（一）以房地产开发与经营业务作为企业主营业务；（二）取得房地产开发资质等级证书。</w:t>
      </w:r>
    </w:p>
    <w:p w14:paraId="4CCB682E" w14:textId="77777777" w:rsidR="0035415A" w:rsidRDefault="0035415A">
      <w:pPr>
        <w:pStyle w:val="a2"/>
        <w:spacing w:before="156" w:after="156"/>
      </w:pPr>
    </w:p>
    <w:p w14:paraId="3268861A" w14:textId="77777777" w:rsidR="0035415A" w:rsidRDefault="00000000">
      <w:pPr>
        <w:pStyle w:val="afff1"/>
        <w:rPr>
          <w:rStyle w:val="afff6"/>
          <w:rFonts w:ascii="Times New Roman" w:eastAsia="黑体"/>
          <w:b w:val="0"/>
          <w:bCs w:val="0"/>
        </w:rPr>
      </w:pPr>
      <w:r>
        <w:rPr>
          <w:rStyle w:val="afff6"/>
          <w:rFonts w:ascii="黑体" w:eastAsia="黑体" w:hAnsi="黑体"/>
          <w:b w:val="0"/>
          <w:bCs w:val="0"/>
        </w:rPr>
        <w:t>房地产开发企业</w:t>
      </w:r>
      <w:r>
        <w:rPr>
          <w:rStyle w:val="afff6"/>
          <w:rFonts w:ascii="黑体" w:eastAsia="黑体" w:hAnsi="黑体" w:hint="eastAsia"/>
          <w:b w:val="0"/>
          <w:bCs w:val="0"/>
        </w:rPr>
        <w:t xml:space="preserve">信用 </w:t>
      </w:r>
      <w:r>
        <w:rPr>
          <w:rStyle w:val="afff6"/>
          <w:rFonts w:ascii="Times New Roman" w:eastAsia="黑体"/>
        </w:rPr>
        <w:t xml:space="preserve">real </w:t>
      </w:r>
      <w:r>
        <w:rPr>
          <w:rStyle w:val="afff6"/>
          <w:rFonts w:ascii="Times New Roman" w:eastAsia="黑体" w:hint="eastAsia"/>
        </w:rPr>
        <w:t>estate</w:t>
      </w:r>
      <w:r>
        <w:rPr>
          <w:rStyle w:val="afff6"/>
          <w:rFonts w:ascii="Times New Roman" w:eastAsia="黑体"/>
        </w:rPr>
        <w:t xml:space="preserve"> development enterprise credit</w:t>
      </w:r>
    </w:p>
    <w:p w14:paraId="6EED61AB" w14:textId="77777777" w:rsidR="0035415A" w:rsidRDefault="00000000">
      <w:pPr>
        <w:pStyle w:val="afff1"/>
        <w:ind w:left="454" w:firstLineChars="0" w:firstLine="0"/>
      </w:pPr>
      <w:r>
        <w:rPr>
          <w:rFonts w:hint="eastAsia"/>
        </w:rPr>
        <w:t>指房地产开发企业履行承诺的意愿和能力。</w:t>
      </w:r>
    </w:p>
    <w:p w14:paraId="23C8CF3D" w14:textId="77777777" w:rsidR="0035415A" w:rsidRDefault="0035415A">
      <w:pPr>
        <w:pStyle w:val="a2"/>
        <w:spacing w:before="156" w:after="156"/>
      </w:pPr>
    </w:p>
    <w:p w14:paraId="69C32336" w14:textId="77777777" w:rsidR="0035415A" w:rsidRDefault="00000000">
      <w:pPr>
        <w:pStyle w:val="afff1"/>
        <w:rPr>
          <w:rStyle w:val="afff6"/>
          <w:rFonts w:ascii="黑体" w:eastAsia="黑体" w:hAnsi="黑体"/>
          <w:b w:val="0"/>
          <w:bCs w:val="0"/>
        </w:rPr>
      </w:pPr>
      <w:r>
        <w:rPr>
          <w:rStyle w:val="afff6"/>
          <w:rFonts w:ascii="黑体" w:eastAsia="黑体" w:hAnsi="黑体" w:hint="eastAsia"/>
          <w:b w:val="0"/>
          <w:bCs w:val="0"/>
        </w:rPr>
        <w:t xml:space="preserve">房地产开发企业信用评价 </w:t>
      </w:r>
      <w:r>
        <w:rPr>
          <w:rStyle w:val="afff6"/>
          <w:rFonts w:ascii="Times New Roman" w:eastAsia="黑体"/>
        </w:rPr>
        <w:t>credit evaluation of real estate development enterprise</w:t>
      </w:r>
    </w:p>
    <w:p w14:paraId="7E2AB677" w14:textId="77777777" w:rsidR="0035415A" w:rsidRDefault="00000000">
      <w:pPr>
        <w:pStyle w:val="afff1"/>
      </w:pPr>
      <w:r>
        <w:rPr>
          <w:rFonts w:hint="eastAsia"/>
        </w:rPr>
        <w:t>对房地产开发企业在经营和管理过程中执行国家相关法律、法规、标准及政策，遵守正常市场交易规则，履行社会责任，信守社会承诺及经济偿还意愿、能力和表现进行综合分析和评价的活动。</w:t>
      </w:r>
    </w:p>
    <w:p w14:paraId="47A6E9FE" w14:textId="77777777" w:rsidR="0035415A" w:rsidRDefault="00000000">
      <w:pPr>
        <w:pStyle w:val="a1"/>
        <w:spacing w:before="312" w:after="312"/>
      </w:pPr>
      <w:bookmarkStart w:id="67" w:name="_Toc29293"/>
      <w:bookmarkStart w:id="68" w:name="_Toc5254"/>
      <w:bookmarkStart w:id="69" w:name="_Toc5047"/>
      <w:bookmarkStart w:id="70" w:name="_Toc24596"/>
      <w:bookmarkStart w:id="71" w:name="_Toc29497"/>
      <w:bookmarkStart w:id="72" w:name="_Toc74143778"/>
      <w:bookmarkStart w:id="73" w:name="_Toc71478576"/>
      <w:r>
        <w:rPr>
          <w:rFonts w:hint="eastAsia"/>
        </w:rPr>
        <w:t>参与主体</w:t>
      </w:r>
      <w:bookmarkEnd w:id="67"/>
      <w:bookmarkEnd w:id="68"/>
      <w:bookmarkEnd w:id="69"/>
      <w:bookmarkEnd w:id="70"/>
    </w:p>
    <w:p w14:paraId="696B8B5D" w14:textId="77777777" w:rsidR="0035415A" w:rsidRDefault="00000000">
      <w:pPr>
        <w:pStyle w:val="afff1"/>
      </w:pPr>
      <w:r>
        <w:rPr>
          <w:rFonts w:hint="eastAsia"/>
        </w:rPr>
        <w:t>房地产开发企业信用评价参与主体应至少包括：评价工作组织单位（评价单位）和被评价对象。</w:t>
      </w:r>
    </w:p>
    <w:p w14:paraId="5DCE63AC" w14:textId="77777777" w:rsidR="0035415A" w:rsidRDefault="00000000">
      <w:pPr>
        <w:pStyle w:val="afff1"/>
      </w:pPr>
      <w:r>
        <w:rPr>
          <w:rFonts w:hint="eastAsia"/>
        </w:rPr>
        <w:t>被评价对象包括被评房地产开发企业，及其实际控制的从事房地产开发与经营为主营业务的</w:t>
      </w:r>
      <w:r>
        <w:t>子</w:t>
      </w:r>
      <w:r>
        <w:rPr>
          <w:rFonts w:hint="eastAsia"/>
        </w:rPr>
        <w:t>公司。</w:t>
      </w:r>
    </w:p>
    <w:p w14:paraId="51D2A51C" w14:textId="77777777" w:rsidR="0035415A" w:rsidRDefault="00000000">
      <w:pPr>
        <w:pStyle w:val="a1"/>
        <w:spacing w:before="312" w:after="312"/>
      </w:pPr>
      <w:bookmarkStart w:id="74" w:name="_Toc15882"/>
      <w:bookmarkStart w:id="75" w:name="_Toc29824"/>
      <w:bookmarkStart w:id="76" w:name="_Toc21946"/>
      <w:bookmarkStart w:id="77" w:name="_Toc27391"/>
      <w:r>
        <w:rPr>
          <w:rFonts w:hint="eastAsia"/>
        </w:rPr>
        <w:t>评价原则</w:t>
      </w:r>
      <w:bookmarkEnd w:id="71"/>
      <w:bookmarkEnd w:id="72"/>
      <w:bookmarkEnd w:id="73"/>
      <w:bookmarkEnd w:id="74"/>
      <w:bookmarkEnd w:id="75"/>
      <w:bookmarkEnd w:id="76"/>
      <w:bookmarkEnd w:id="77"/>
    </w:p>
    <w:p w14:paraId="19150508" w14:textId="77777777" w:rsidR="0035415A" w:rsidRDefault="00000000">
      <w:pPr>
        <w:pStyle w:val="a2"/>
        <w:spacing w:before="156" w:after="156"/>
      </w:pPr>
      <w:r>
        <w:rPr>
          <w:rFonts w:hint="eastAsia"/>
        </w:rPr>
        <w:t>公开、公平、公正</w:t>
      </w:r>
    </w:p>
    <w:p w14:paraId="566EBFEC" w14:textId="77777777" w:rsidR="0035415A" w:rsidRDefault="00000000">
      <w:pPr>
        <w:pStyle w:val="afff1"/>
      </w:pPr>
      <w:r>
        <w:rPr>
          <w:rFonts w:hint="eastAsia"/>
        </w:rPr>
        <w:t>房地产开发企业信用评价工作应做到评价过程公开透明，被评价对象公平对待，评价程序公正客观。</w:t>
      </w:r>
    </w:p>
    <w:p w14:paraId="71C5AD87" w14:textId="77777777" w:rsidR="0035415A" w:rsidRDefault="00000000">
      <w:pPr>
        <w:pStyle w:val="a2"/>
        <w:spacing w:before="156" w:after="156"/>
      </w:pPr>
      <w:r>
        <w:rPr>
          <w:rFonts w:hint="eastAsia"/>
        </w:rPr>
        <w:t>客观性</w:t>
      </w:r>
    </w:p>
    <w:p w14:paraId="479F0A5B" w14:textId="77777777" w:rsidR="0035415A" w:rsidRDefault="00000000">
      <w:pPr>
        <w:pStyle w:val="afff1"/>
      </w:pPr>
      <w:r>
        <w:rPr>
          <w:rFonts w:hint="eastAsia"/>
        </w:rPr>
        <w:t>评价过程中应对采集到的被评对象的信用信息进行尽职调查，并采取相应方法核实比对，务求真实反映其信用状况。</w:t>
      </w:r>
    </w:p>
    <w:p w14:paraId="3B5D17B5" w14:textId="77777777" w:rsidR="0035415A" w:rsidRDefault="00000000">
      <w:pPr>
        <w:pStyle w:val="a2"/>
        <w:spacing w:before="156" w:after="156"/>
      </w:pPr>
      <w:r>
        <w:rPr>
          <w:rFonts w:hint="eastAsia"/>
        </w:rPr>
        <w:t>独立性</w:t>
      </w:r>
    </w:p>
    <w:p w14:paraId="7D633BA3" w14:textId="77777777" w:rsidR="0035415A" w:rsidRDefault="00000000">
      <w:pPr>
        <w:pStyle w:val="afff1"/>
      </w:pPr>
      <w:r>
        <w:rPr>
          <w:rFonts w:hint="eastAsia"/>
        </w:rPr>
        <w:t>评价单位应完全独立于被评价对象，不受外来因素影响与任何单位或个人的干涉。</w:t>
      </w:r>
    </w:p>
    <w:p w14:paraId="62F3E7F4" w14:textId="77777777" w:rsidR="0035415A" w:rsidRDefault="00000000">
      <w:pPr>
        <w:pStyle w:val="a2"/>
        <w:spacing w:before="156" w:after="156"/>
      </w:pPr>
      <w:r>
        <w:rPr>
          <w:rFonts w:hint="eastAsia"/>
        </w:rPr>
        <w:t>审慎性</w:t>
      </w:r>
    </w:p>
    <w:p w14:paraId="421672B4" w14:textId="77777777" w:rsidR="0035415A" w:rsidRDefault="00000000">
      <w:pPr>
        <w:pStyle w:val="afff1"/>
      </w:pPr>
      <w:r>
        <w:rPr>
          <w:rFonts w:hint="eastAsia"/>
        </w:rPr>
        <w:t>在对被评对象进行信用分析、评价的过程中，尤其在被评对象提供的信用信息不完备或无法核实的情况下，应持审慎态度。</w:t>
      </w:r>
    </w:p>
    <w:p w14:paraId="723B2EEA" w14:textId="77777777" w:rsidR="0035415A" w:rsidRDefault="00000000">
      <w:pPr>
        <w:pStyle w:val="a2"/>
        <w:spacing w:before="156" w:after="156"/>
      </w:pPr>
      <w:r>
        <w:rPr>
          <w:rFonts w:hint="eastAsia"/>
        </w:rPr>
        <w:t>时效性</w:t>
      </w:r>
    </w:p>
    <w:p w14:paraId="6383CACE" w14:textId="77777777" w:rsidR="0035415A" w:rsidRDefault="00000000">
      <w:pPr>
        <w:pStyle w:val="afff1"/>
      </w:pPr>
      <w:r>
        <w:rPr>
          <w:rFonts w:hint="eastAsia"/>
        </w:rPr>
        <w:t>信用评价结果作为一种信息，是在一定时间、一定地点、一定条件下，经过综合评价而形成的，只能在一定时期内有效。</w:t>
      </w:r>
    </w:p>
    <w:p w14:paraId="52082E28" w14:textId="77777777" w:rsidR="0035415A" w:rsidRDefault="00000000">
      <w:pPr>
        <w:pStyle w:val="a2"/>
        <w:spacing w:before="156" w:after="156"/>
      </w:pPr>
      <w:r>
        <w:rPr>
          <w:rFonts w:hint="eastAsia"/>
        </w:rPr>
        <w:lastRenderedPageBreak/>
        <w:t>预测性</w:t>
      </w:r>
    </w:p>
    <w:p w14:paraId="1EDF8EE6" w14:textId="77777777" w:rsidR="0035415A" w:rsidRDefault="00000000">
      <w:pPr>
        <w:pStyle w:val="afff1"/>
      </w:pPr>
      <w:r>
        <w:rPr>
          <w:rFonts w:hint="eastAsia"/>
        </w:rPr>
        <w:t>信用评价结果仅能在有限范围内，对被评对象在未来履行承诺的意愿和能力进行合理预测。</w:t>
      </w:r>
    </w:p>
    <w:p w14:paraId="0179C348" w14:textId="77777777" w:rsidR="0035415A" w:rsidRDefault="00000000">
      <w:pPr>
        <w:pStyle w:val="a2"/>
        <w:spacing w:before="156" w:after="156"/>
      </w:pPr>
      <w:r>
        <w:rPr>
          <w:rFonts w:hint="eastAsia"/>
        </w:rPr>
        <w:t>相对性</w:t>
      </w:r>
    </w:p>
    <w:p w14:paraId="37455DB3" w14:textId="77777777" w:rsidR="0035415A" w:rsidRDefault="00000000">
      <w:pPr>
        <w:pStyle w:val="afff1"/>
      </w:pPr>
      <w:r>
        <w:rPr>
          <w:rFonts w:hint="eastAsia"/>
        </w:rPr>
        <w:t>信用评价结果所呈现的评价等级仅具有相对意义。</w:t>
      </w:r>
    </w:p>
    <w:p w14:paraId="7B286CDF" w14:textId="77777777" w:rsidR="0035415A" w:rsidRDefault="00000000">
      <w:pPr>
        <w:pStyle w:val="a2"/>
        <w:spacing w:before="156" w:after="156"/>
      </w:pPr>
      <w:r>
        <w:rPr>
          <w:rFonts w:hint="eastAsia"/>
        </w:rPr>
        <w:t>保密性</w:t>
      </w:r>
    </w:p>
    <w:p w14:paraId="58E5B24D" w14:textId="77777777" w:rsidR="0035415A" w:rsidRDefault="00000000">
      <w:pPr>
        <w:pStyle w:val="afff1"/>
      </w:pPr>
      <w:r>
        <w:rPr>
          <w:rFonts w:hint="eastAsia"/>
        </w:rPr>
        <w:t>评价单位应严格保守其所获取的被评价对象的保密信息。</w:t>
      </w:r>
    </w:p>
    <w:p w14:paraId="7EF62795" w14:textId="77777777" w:rsidR="0035415A" w:rsidRDefault="00000000">
      <w:pPr>
        <w:pStyle w:val="a1"/>
        <w:spacing w:before="312" w:after="312"/>
      </w:pPr>
      <w:bookmarkStart w:id="78" w:name="_Toc8648"/>
      <w:bookmarkStart w:id="79" w:name="_Toc74143779"/>
      <w:bookmarkStart w:id="80" w:name="_Toc28191"/>
      <w:bookmarkStart w:id="81" w:name="_Toc23244"/>
      <w:bookmarkStart w:id="82" w:name="_Toc27354"/>
      <w:bookmarkStart w:id="83" w:name="_Toc71478577"/>
      <w:bookmarkStart w:id="84" w:name="_Toc17670"/>
      <w:r>
        <w:rPr>
          <w:rFonts w:hint="eastAsia"/>
        </w:rPr>
        <w:t>评价程序</w:t>
      </w:r>
      <w:bookmarkEnd w:id="78"/>
      <w:bookmarkEnd w:id="79"/>
      <w:bookmarkEnd w:id="80"/>
      <w:bookmarkEnd w:id="81"/>
      <w:bookmarkEnd w:id="82"/>
      <w:bookmarkEnd w:id="83"/>
      <w:bookmarkEnd w:id="84"/>
    </w:p>
    <w:p w14:paraId="445989BF" w14:textId="77777777" w:rsidR="0035415A" w:rsidRDefault="00000000">
      <w:pPr>
        <w:pStyle w:val="afff1"/>
      </w:pPr>
      <w:r>
        <w:rPr>
          <w:rFonts w:hint="eastAsia"/>
        </w:rPr>
        <w:t>房地产开发企业信用评价应至少采用以下程序：</w:t>
      </w:r>
    </w:p>
    <w:p w14:paraId="3A063FBA" w14:textId="77777777" w:rsidR="0035415A" w:rsidRDefault="00000000">
      <w:pPr>
        <w:pStyle w:val="aff1"/>
        <w:numPr>
          <w:ilvl w:val="0"/>
          <w:numId w:val="18"/>
        </w:numPr>
        <w:ind w:left="839" w:hanging="419"/>
      </w:pPr>
      <w:r>
        <w:rPr>
          <w:rFonts w:hint="eastAsia"/>
        </w:rPr>
        <w:t>评价单位发布开展信用评价工作方案；</w:t>
      </w:r>
    </w:p>
    <w:p w14:paraId="1CC78628" w14:textId="77777777" w:rsidR="0035415A" w:rsidRDefault="00000000">
      <w:pPr>
        <w:pStyle w:val="aff1"/>
        <w:numPr>
          <w:ilvl w:val="0"/>
          <w:numId w:val="18"/>
        </w:numPr>
        <w:ind w:left="839" w:hanging="419"/>
      </w:pPr>
      <w:r>
        <w:rPr>
          <w:rFonts w:hint="eastAsia"/>
        </w:rPr>
        <w:t>评价单位自主或委托第三方评价机构实施评价工作；</w:t>
      </w:r>
    </w:p>
    <w:p w14:paraId="2D72803A" w14:textId="77777777" w:rsidR="0035415A" w:rsidRDefault="00000000">
      <w:pPr>
        <w:pStyle w:val="aff1"/>
        <w:numPr>
          <w:ilvl w:val="0"/>
          <w:numId w:val="18"/>
        </w:numPr>
        <w:ind w:left="839" w:hanging="419"/>
      </w:pPr>
      <w:r>
        <w:rPr>
          <w:rFonts w:hint="eastAsia"/>
        </w:rPr>
        <w:t>评价单位在公开渠道公示、公布评价结果；</w:t>
      </w:r>
    </w:p>
    <w:p w14:paraId="1CAE06CA" w14:textId="77777777" w:rsidR="0035415A" w:rsidRDefault="00000000">
      <w:pPr>
        <w:pStyle w:val="aff1"/>
        <w:numPr>
          <w:ilvl w:val="0"/>
          <w:numId w:val="18"/>
        </w:numPr>
        <w:tabs>
          <w:tab w:val="clear" w:pos="839"/>
        </w:tabs>
        <w:ind w:left="839" w:hanging="419"/>
      </w:pPr>
      <w:r>
        <w:rPr>
          <w:rFonts w:hint="eastAsia"/>
        </w:rPr>
        <w:t>评价单位组织颁发信用等级牌匾和证书。</w:t>
      </w:r>
    </w:p>
    <w:p w14:paraId="5B47456E" w14:textId="77777777" w:rsidR="0035415A" w:rsidRDefault="00000000">
      <w:pPr>
        <w:pStyle w:val="a1"/>
        <w:spacing w:before="312" w:after="312"/>
      </w:pPr>
      <w:bookmarkStart w:id="85" w:name="_Toc3050"/>
      <w:bookmarkStart w:id="86" w:name="_Toc1460"/>
      <w:bookmarkStart w:id="87" w:name="_Toc27691"/>
      <w:bookmarkStart w:id="88" w:name="_Toc553"/>
      <w:bookmarkStart w:id="89" w:name="_Toc74143780"/>
      <w:bookmarkStart w:id="90" w:name="_Toc27267"/>
      <w:bookmarkStart w:id="91" w:name="_Toc71478578"/>
      <w:r>
        <w:rPr>
          <w:rFonts w:hint="eastAsia"/>
        </w:rPr>
        <w:t>评价方法</w:t>
      </w:r>
      <w:bookmarkEnd w:id="85"/>
      <w:bookmarkEnd w:id="86"/>
      <w:bookmarkEnd w:id="87"/>
      <w:bookmarkEnd w:id="88"/>
    </w:p>
    <w:p w14:paraId="583F62D4" w14:textId="77777777" w:rsidR="0035415A" w:rsidRDefault="00000000">
      <w:pPr>
        <w:pStyle w:val="afff1"/>
      </w:pPr>
      <w:r>
        <w:rPr>
          <w:rFonts w:hint="eastAsia"/>
        </w:rPr>
        <w:t>评价实施须按照指标体系对应每一项评价指标进行打分。当出现评价结果空缺或评价程序有违本标准规定的情况时，该评价视为无效评价。</w:t>
      </w:r>
    </w:p>
    <w:p w14:paraId="12BF3F00" w14:textId="77777777" w:rsidR="0035415A" w:rsidRDefault="00000000">
      <w:pPr>
        <w:pStyle w:val="afff1"/>
      </w:pPr>
      <w:r>
        <w:rPr>
          <w:rFonts w:hint="eastAsia"/>
        </w:rPr>
        <w:t>评分结果满分为1</w:t>
      </w:r>
      <w:r>
        <w:t>00</w:t>
      </w:r>
      <w:r>
        <w:rPr>
          <w:rFonts w:hint="eastAsia"/>
        </w:rPr>
        <w:t>分，当计入加分项后超出1</w:t>
      </w:r>
      <w:r>
        <w:t>00</w:t>
      </w:r>
      <w:r>
        <w:rPr>
          <w:rFonts w:hint="eastAsia"/>
        </w:rPr>
        <w:t>分的按1</w:t>
      </w:r>
      <w:r>
        <w:t>00</w:t>
      </w:r>
      <w:r>
        <w:rPr>
          <w:rFonts w:hint="eastAsia"/>
        </w:rPr>
        <w:t>分计，不超出1</w:t>
      </w:r>
      <w:r>
        <w:t>00</w:t>
      </w:r>
      <w:r>
        <w:rPr>
          <w:rFonts w:hint="eastAsia"/>
        </w:rPr>
        <w:t>分的按计入加分项后的分值计。</w:t>
      </w:r>
    </w:p>
    <w:p w14:paraId="4DE0B0A0" w14:textId="77777777" w:rsidR="0035415A" w:rsidRDefault="00000000">
      <w:pPr>
        <w:pStyle w:val="afff1"/>
      </w:pPr>
      <w:r>
        <w:rPr>
          <w:rFonts w:hint="eastAsia"/>
        </w:rPr>
        <w:t>被评对象的信用等级</w:t>
      </w:r>
      <w:proofErr w:type="gramStart"/>
      <w:r>
        <w:rPr>
          <w:rFonts w:hint="eastAsia"/>
        </w:rPr>
        <w:t>由评价</w:t>
      </w:r>
      <w:proofErr w:type="gramEnd"/>
      <w:r>
        <w:rPr>
          <w:rFonts w:hint="eastAsia"/>
        </w:rPr>
        <w:t>得分转化确定。</w:t>
      </w:r>
    </w:p>
    <w:p w14:paraId="3FE4CADC" w14:textId="77777777" w:rsidR="0035415A" w:rsidRDefault="00000000">
      <w:pPr>
        <w:pStyle w:val="a1"/>
        <w:spacing w:before="312" w:after="312"/>
      </w:pPr>
      <w:bookmarkStart w:id="92" w:name="_Toc10338"/>
      <w:bookmarkStart w:id="93" w:name="_Toc12798"/>
      <w:bookmarkStart w:id="94" w:name="_Toc30327"/>
      <w:bookmarkStart w:id="95" w:name="_Toc9061"/>
      <w:r>
        <w:rPr>
          <w:rFonts w:hint="eastAsia"/>
        </w:rPr>
        <w:t>评价等级</w:t>
      </w:r>
      <w:bookmarkEnd w:id="89"/>
      <w:bookmarkEnd w:id="90"/>
      <w:bookmarkEnd w:id="91"/>
      <w:bookmarkEnd w:id="92"/>
      <w:bookmarkEnd w:id="93"/>
      <w:bookmarkEnd w:id="94"/>
      <w:bookmarkEnd w:id="95"/>
    </w:p>
    <w:p w14:paraId="47472081" w14:textId="77777777" w:rsidR="0035415A" w:rsidRDefault="00000000">
      <w:pPr>
        <w:pStyle w:val="afff1"/>
      </w:pPr>
      <w:r>
        <w:rPr>
          <w:rFonts w:hint="eastAsia"/>
        </w:rPr>
        <w:t>参照国家标准《企业信用等级表示方法（GB/T22116-2008)》，房地产开发企业信用等级分为三等（A、B、C）五级（AAA、AA、A、B、C）；评价结果满分为1</w:t>
      </w:r>
      <w:r>
        <w:t>00</w:t>
      </w:r>
      <w:r>
        <w:rPr>
          <w:rFonts w:hint="eastAsia"/>
        </w:rPr>
        <w:t>分，依据企业评价综合得分确定企业信用等级。</w:t>
      </w:r>
    </w:p>
    <w:p w14:paraId="0EB6D2C0" w14:textId="77777777" w:rsidR="0035415A" w:rsidRDefault="00000000">
      <w:pPr>
        <w:pStyle w:val="aff1"/>
        <w:numPr>
          <w:ilvl w:val="1"/>
          <w:numId w:val="19"/>
        </w:numPr>
        <w:tabs>
          <w:tab w:val="clear" w:pos="840"/>
        </w:tabs>
      </w:pPr>
      <w:r>
        <w:rPr>
          <w:rFonts w:hint="eastAsia"/>
        </w:rPr>
        <w:t>AAA级信用企业：企业评价得分在90分（含）以上；</w:t>
      </w:r>
    </w:p>
    <w:p w14:paraId="16BFDA15" w14:textId="77777777" w:rsidR="0035415A" w:rsidRDefault="00000000">
      <w:pPr>
        <w:pStyle w:val="aff1"/>
        <w:numPr>
          <w:ilvl w:val="1"/>
          <w:numId w:val="19"/>
        </w:numPr>
        <w:tabs>
          <w:tab w:val="clear" w:pos="840"/>
        </w:tabs>
      </w:pPr>
      <w:r>
        <w:rPr>
          <w:rFonts w:hint="eastAsia"/>
        </w:rPr>
        <w:t>AA级信用企业：企业评价得分满80分，不足90分；</w:t>
      </w:r>
    </w:p>
    <w:p w14:paraId="591E124C" w14:textId="77777777" w:rsidR="0035415A" w:rsidRDefault="00000000">
      <w:pPr>
        <w:pStyle w:val="aff1"/>
        <w:numPr>
          <w:ilvl w:val="1"/>
          <w:numId w:val="19"/>
        </w:numPr>
        <w:tabs>
          <w:tab w:val="clear" w:pos="840"/>
        </w:tabs>
      </w:pPr>
      <w:r>
        <w:rPr>
          <w:rFonts w:hint="eastAsia"/>
        </w:rPr>
        <w:t>A级信用企业：企业评价得分满70分，不足80分；</w:t>
      </w:r>
    </w:p>
    <w:p w14:paraId="71B0D010" w14:textId="77777777" w:rsidR="0035415A" w:rsidRDefault="00000000">
      <w:pPr>
        <w:pStyle w:val="aff1"/>
        <w:numPr>
          <w:ilvl w:val="1"/>
          <w:numId w:val="19"/>
        </w:numPr>
        <w:tabs>
          <w:tab w:val="clear" w:pos="840"/>
        </w:tabs>
      </w:pPr>
      <w:r>
        <w:rPr>
          <w:rFonts w:hint="eastAsia"/>
        </w:rPr>
        <w:t>B级信用企业：企业评价得分满60分，不足70分；</w:t>
      </w:r>
    </w:p>
    <w:p w14:paraId="272AE994" w14:textId="77777777" w:rsidR="0035415A" w:rsidRDefault="00000000">
      <w:pPr>
        <w:pStyle w:val="aff1"/>
        <w:numPr>
          <w:ilvl w:val="1"/>
          <w:numId w:val="19"/>
        </w:numPr>
        <w:tabs>
          <w:tab w:val="clear" w:pos="840"/>
        </w:tabs>
      </w:pPr>
      <w:r>
        <w:rPr>
          <w:rFonts w:hint="eastAsia"/>
        </w:rPr>
        <w:t>C级信用企业：企业评价得分不足60分。</w:t>
      </w:r>
    </w:p>
    <w:p w14:paraId="344F9EAB" w14:textId="77777777" w:rsidR="0035415A" w:rsidRDefault="0035415A">
      <w:pPr>
        <w:pStyle w:val="afff1"/>
      </w:pPr>
    </w:p>
    <w:p w14:paraId="6D86E008" w14:textId="77777777" w:rsidR="0035415A" w:rsidRDefault="00000000">
      <w:pPr>
        <w:pStyle w:val="afff1"/>
      </w:pPr>
      <w:r>
        <w:rPr>
          <w:rFonts w:hint="eastAsia"/>
        </w:rPr>
        <w:t>A等表明企业信用较好，B等表明企业信用一般，C等表明企业信用存在较多问题。其中：</w:t>
      </w:r>
    </w:p>
    <w:p w14:paraId="6A4D91E8" w14:textId="77777777" w:rsidR="0035415A" w:rsidRDefault="00000000">
      <w:pPr>
        <w:pStyle w:val="afff1"/>
      </w:pPr>
      <w:r>
        <w:rPr>
          <w:rFonts w:hint="eastAsia"/>
        </w:rPr>
        <w:t>AAA级：信用很好。AA级：信用良好。A级：信用较好。B级：信用一般。C级：信用差。</w:t>
      </w:r>
    </w:p>
    <w:p w14:paraId="3CE36CFD" w14:textId="77777777" w:rsidR="0035415A" w:rsidRDefault="00000000">
      <w:pPr>
        <w:pStyle w:val="a1"/>
        <w:spacing w:before="312" w:after="312"/>
      </w:pPr>
      <w:bookmarkStart w:id="96" w:name="_Toc24207"/>
      <w:bookmarkStart w:id="97" w:name="_Toc18625"/>
      <w:bookmarkStart w:id="98" w:name="_Toc12672"/>
      <w:bookmarkStart w:id="99" w:name="_Toc11854"/>
      <w:bookmarkStart w:id="100" w:name="_Toc12426"/>
      <w:bookmarkStart w:id="101" w:name="_Toc71478579"/>
      <w:bookmarkStart w:id="102" w:name="_Toc74143781"/>
      <w:bookmarkStart w:id="103" w:name="_Hlk83548294"/>
      <w:r>
        <w:rPr>
          <w:rFonts w:hint="eastAsia"/>
        </w:rPr>
        <w:t>信用等级有效期</w:t>
      </w:r>
      <w:bookmarkEnd w:id="96"/>
      <w:bookmarkEnd w:id="97"/>
      <w:bookmarkEnd w:id="98"/>
      <w:bookmarkEnd w:id="99"/>
    </w:p>
    <w:p w14:paraId="7BD8FB7A" w14:textId="77777777" w:rsidR="0035415A" w:rsidRDefault="00000000">
      <w:pPr>
        <w:pStyle w:val="afff1"/>
      </w:pPr>
      <w:r>
        <w:rPr>
          <w:rFonts w:hint="eastAsia"/>
        </w:rPr>
        <w:lastRenderedPageBreak/>
        <w:t>信用评价等级有效期为3年，有效期届满，企业信用等级自动失效。</w:t>
      </w:r>
    </w:p>
    <w:p w14:paraId="4E3461CB" w14:textId="77777777" w:rsidR="0035415A" w:rsidRDefault="00000000">
      <w:pPr>
        <w:pStyle w:val="afff1"/>
      </w:pPr>
      <w:r>
        <w:rPr>
          <w:rFonts w:hint="eastAsia"/>
        </w:rPr>
        <w:t>如期间发生信用等级调整，以新的信用评价等级调整之日起重新计算有效期。</w:t>
      </w:r>
    </w:p>
    <w:p w14:paraId="4A9886EE" w14:textId="77777777" w:rsidR="0035415A" w:rsidRDefault="00000000">
      <w:pPr>
        <w:pStyle w:val="a1"/>
        <w:spacing w:before="312" w:after="312"/>
      </w:pPr>
      <w:bookmarkStart w:id="104" w:name="_Toc16849"/>
      <w:bookmarkStart w:id="105" w:name="_Toc3248"/>
      <w:bookmarkStart w:id="106" w:name="_Toc25833"/>
      <w:bookmarkStart w:id="107" w:name="_Toc9414"/>
      <w:r>
        <w:rPr>
          <w:rFonts w:hint="eastAsia"/>
        </w:rPr>
        <w:t>信用等级企业监测</w:t>
      </w:r>
      <w:bookmarkEnd w:id="104"/>
      <w:bookmarkEnd w:id="105"/>
      <w:bookmarkEnd w:id="106"/>
      <w:bookmarkEnd w:id="107"/>
    </w:p>
    <w:p w14:paraId="587D3EA9" w14:textId="77777777" w:rsidR="0035415A" w:rsidRDefault="00000000">
      <w:pPr>
        <w:pStyle w:val="afff1"/>
      </w:pPr>
      <w:r>
        <w:rPr>
          <w:rFonts w:hint="eastAsia"/>
        </w:rPr>
        <w:t>评价单位自主或委托第三方评价机构对有效期内的信用等级企业进行信用状况监测。</w:t>
      </w:r>
    </w:p>
    <w:p w14:paraId="57D9D04E" w14:textId="77777777" w:rsidR="0035415A" w:rsidRDefault="00000000">
      <w:pPr>
        <w:pStyle w:val="afff1"/>
      </w:pPr>
      <w:r>
        <w:rPr>
          <w:rFonts w:hint="eastAsia"/>
        </w:rPr>
        <w:t>监测内容为信用等级企业及其评价关联公司的失信行为、负面影响、社会舆情等。评价单位将视情节轻重对其信用等级维持、调整或摘牌。</w:t>
      </w:r>
    </w:p>
    <w:p w14:paraId="5A19244A" w14:textId="77777777" w:rsidR="0035415A" w:rsidRDefault="00000000">
      <w:pPr>
        <w:pStyle w:val="a1"/>
        <w:spacing w:before="312" w:after="312"/>
      </w:pPr>
      <w:bookmarkStart w:id="108" w:name="_Toc23334"/>
      <w:bookmarkStart w:id="109" w:name="_Toc24704"/>
      <w:bookmarkStart w:id="110" w:name="_Toc11747"/>
      <w:bookmarkStart w:id="111" w:name="_Toc21320"/>
      <w:r>
        <w:rPr>
          <w:rFonts w:hint="eastAsia"/>
        </w:rPr>
        <w:t>评价指标</w:t>
      </w:r>
      <w:bookmarkEnd w:id="100"/>
      <w:bookmarkEnd w:id="101"/>
      <w:bookmarkEnd w:id="102"/>
      <w:bookmarkEnd w:id="108"/>
      <w:bookmarkEnd w:id="109"/>
      <w:bookmarkEnd w:id="110"/>
      <w:bookmarkEnd w:id="111"/>
    </w:p>
    <w:bookmarkEnd w:id="103"/>
    <w:p w14:paraId="11921090" w14:textId="77777777" w:rsidR="0035415A" w:rsidRDefault="00000000">
      <w:pPr>
        <w:pStyle w:val="a2"/>
        <w:spacing w:before="156" w:after="156"/>
      </w:pPr>
      <w:r>
        <w:rPr>
          <w:rFonts w:hint="eastAsia"/>
        </w:rPr>
        <w:t>指标体系</w:t>
      </w:r>
    </w:p>
    <w:p w14:paraId="2B922A72" w14:textId="77777777" w:rsidR="0035415A" w:rsidRDefault="00000000">
      <w:pPr>
        <w:pStyle w:val="afff1"/>
      </w:pPr>
      <w:r>
        <w:rPr>
          <w:rFonts w:hint="eastAsia"/>
        </w:rPr>
        <w:t>本标准以国家标准《GB/T 23794-2015 企业信用评价指标》为依据，充分考虑我国房地产开发企业特点并结合行业实际状况，从客观信用能力、经营信用情况与社会信用情况三个维度设置一级指标，并合理设置“加分项”、“一票否决项”和“单项最低指标”，建立房地产开发企业信用评价的指标体系。</w:t>
      </w:r>
    </w:p>
    <w:p w14:paraId="217331DB" w14:textId="77777777" w:rsidR="0035415A" w:rsidRDefault="00000000">
      <w:pPr>
        <w:pStyle w:val="afff1"/>
      </w:pPr>
      <w:r>
        <w:rPr>
          <w:rFonts w:hint="eastAsia"/>
        </w:rPr>
        <w:t>具体指标说明与评价规则参见附录A。</w:t>
      </w:r>
    </w:p>
    <w:p w14:paraId="5B4C5B40" w14:textId="77777777" w:rsidR="0035415A" w:rsidRDefault="00000000">
      <w:pPr>
        <w:pStyle w:val="a2"/>
        <w:spacing w:before="156" w:after="156"/>
      </w:pPr>
      <w:r>
        <w:rPr>
          <w:rFonts w:hint="eastAsia"/>
        </w:rPr>
        <w:t>客观信用能力指标</w:t>
      </w:r>
    </w:p>
    <w:p w14:paraId="1B558509" w14:textId="77777777" w:rsidR="0035415A" w:rsidRDefault="00000000">
      <w:pPr>
        <w:pStyle w:val="afff1"/>
      </w:pPr>
      <w:r>
        <w:rPr>
          <w:rFonts w:hint="eastAsia"/>
        </w:rPr>
        <w:t>企业客观信用指可以用客观具体数值表示且一般具有明确衡量标准的企业基础情况，反映了对企业信用起到支撑作用的人、财、物等实物实力基础（</w:t>
      </w:r>
      <w:proofErr w:type="gramStart"/>
      <w:r>
        <w:rPr>
          <w:rFonts w:hint="eastAsia"/>
        </w:rPr>
        <w:t>即硬基础</w:t>
      </w:r>
      <w:proofErr w:type="gramEnd"/>
      <w:r>
        <w:rPr>
          <w:rFonts w:hint="eastAsia"/>
        </w:rPr>
        <w:t>）和企业管理制度基础（即软基础）的基础性要素。客观信用能力作为一级指标，涵盖下列二级指标：</w:t>
      </w:r>
    </w:p>
    <w:p w14:paraId="3ADD7B7E" w14:textId="77777777" w:rsidR="0035415A" w:rsidRDefault="00000000">
      <w:pPr>
        <w:pStyle w:val="aff0"/>
        <w:numPr>
          <w:ilvl w:val="0"/>
          <w:numId w:val="20"/>
        </w:numPr>
      </w:pPr>
      <w:r>
        <w:rPr>
          <w:rFonts w:hint="eastAsia"/>
        </w:rPr>
        <w:t>经营信息：指企业从事房地产开发经营活动的时长与经验基础。</w:t>
      </w:r>
    </w:p>
    <w:p w14:paraId="5DD766B7" w14:textId="77777777" w:rsidR="0035415A" w:rsidRDefault="00000000">
      <w:pPr>
        <w:pStyle w:val="aff0"/>
        <w:numPr>
          <w:ilvl w:val="0"/>
          <w:numId w:val="0"/>
        </w:numPr>
        <w:ind w:left="839"/>
      </w:pPr>
      <w:r>
        <w:rPr>
          <w:rFonts w:hint="eastAsia"/>
        </w:rPr>
        <w:t>重点考察企业经营年限，以反映企业自身建设与成长的情况。</w:t>
      </w:r>
    </w:p>
    <w:p w14:paraId="2B8C616F" w14:textId="77777777" w:rsidR="0035415A" w:rsidRDefault="00000000">
      <w:pPr>
        <w:pStyle w:val="aff0"/>
      </w:pPr>
      <w:r>
        <w:rPr>
          <w:rFonts w:hint="eastAsia"/>
        </w:rPr>
        <w:t>开发能力：指企业从事房地产开发经营活动完成的实物量。</w:t>
      </w:r>
    </w:p>
    <w:p w14:paraId="4382A8D4" w14:textId="77777777" w:rsidR="0035415A" w:rsidRDefault="00000000">
      <w:pPr>
        <w:pStyle w:val="aff0"/>
        <w:numPr>
          <w:ilvl w:val="0"/>
          <w:numId w:val="0"/>
        </w:numPr>
        <w:ind w:left="839"/>
      </w:pPr>
      <w:r>
        <w:rPr>
          <w:rFonts w:hint="eastAsia"/>
        </w:rPr>
        <w:t>重点考察企业近三年累计竣工面积、上一年施工面积，以反映企业开发能力。</w:t>
      </w:r>
    </w:p>
    <w:p w14:paraId="0693AE20" w14:textId="77777777" w:rsidR="0035415A" w:rsidRDefault="00000000">
      <w:pPr>
        <w:pStyle w:val="aff0"/>
      </w:pPr>
      <w:r>
        <w:rPr>
          <w:rFonts w:hint="eastAsia"/>
        </w:rPr>
        <w:t>人员能力：指企业管理层整体的学历、专业能力、品德、行为风格等方面的基本素质基础。</w:t>
      </w:r>
    </w:p>
    <w:p w14:paraId="6A8BC4AF" w14:textId="77777777" w:rsidR="0035415A" w:rsidRDefault="00000000">
      <w:pPr>
        <w:pStyle w:val="aff0"/>
        <w:numPr>
          <w:ilvl w:val="0"/>
          <w:numId w:val="0"/>
        </w:numPr>
        <w:ind w:left="839"/>
      </w:pPr>
      <w:r>
        <w:rPr>
          <w:rFonts w:hint="eastAsia"/>
        </w:rPr>
        <w:t>重点考察管理层的专业能力、人员稳定性、不良信用记录等，以反映企业人力资本质量。</w:t>
      </w:r>
    </w:p>
    <w:p w14:paraId="0F055D38" w14:textId="77777777" w:rsidR="0035415A" w:rsidRDefault="00000000">
      <w:pPr>
        <w:pStyle w:val="aff0"/>
      </w:pPr>
      <w:r>
        <w:rPr>
          <w:rFonts w:hint="eastAsia"/>
        </w:rPr>
        <w:t>公司管理与治理：指企业在公司管理和治理层面上科学、准确、流畅、完善的制度基础。</w:t>
      </w:r>
    </w:p>
    <w:p w14:paraId="5BD5F98B" w14:textId="77777777" w:rsidR="0035415A" w:rsidRDefault="00000000">
      <w:pPr>
        <w:pStyle w:val="aff0"/>
        <w:numPr>
          <w:ilvl w:val="0"/>
          <w:numId w:val="0"/>
        </w:numPr>
        <w:ind w:left="839"/>
      </w:pPr>
      <w:r>
        <w:rPr>
          <w:rFonts w:hint="eastAsia"/>
        </w:rPr>
        <w:t>重点考察管理制度全面性、制度落实情况、风险管控体系健全程度，以反映企业</w:t>
      </w:r>
      <w:proofErr w:type="gramStart"/>
      <w:r>
        <w:rPr>
          <w:rFonts w:hint="eastAsia"/>
        </w:rPr>
        <w:t>软基础</w:t>
      </w:r>
      <w:proofErr w:type="gramEnd"/>
      <w:r>
        <w:rPr>
          <w:rFonts w:hint="eastAsia"/>
        </w:rPr>
        <w:t>的健全情况。</w:t>
      </w:r>
    </w:p>
    <w:p w14:paraId="3AD33F49" w14:textId="77777777" w:rsidR="0035415A" w:rsidRDefault="00000000">
      <w:pPr>
        <w:pStyle w:val="aff0"/>
      </w:pPr>
      <w:r>
        <w:rPr>
          <w:rFonts w:hint="eastAsia"/>
        </w:rPr>
        <w:t>财务状况：指企业财务水平的优秀与稳健程度。</w:t>
      </w:r>
    </w:p>
    <w:p w14:paraId="552F9BAD" w14:textId="77777777" w:rsidR="0035415A" w:rsidRDefault="00000000">
      <w:pPr>
        <w:pStyle w:val="aff0"/>
        <w:numPr>
          <w:ilvl w:val="0"/>
          <w:numId w:val="0"/>
        </w:numPr>
        <w:ind w:left="839"/>
      </w:pPr>
      <w:r>
        <w:rPr>
          <w:rFonts w:hint="eastAsia"/>
        </w:rPr>
        <w:t>重点考察反映偿债能力、运营能力、发展能力、盈利能力的财务指标与财务信息质量，以反映企业财务支撑的信用水平与发展潜力。</w:t>
      </w:r>
    </w:p>
    <w:p w14:paraId="1E74129E" w14:textId="77777777" w:rsidR="0035415A" w:rsidRDefault="00000000">
      <w:pPr>
        <w:pStyle w:val="a2"/>
        <w:spacing w:before="156" w:after="156"/>
      </w:pPr>
      <w:r>
        <w:rPr>
          <w:rFonts w:hint="eastAsia"/>
        </w:rPr>
        <w:t>经营信用情况指标</w:t>
      </w:r>
    </w:p>
    <w:p w14:paraId="65FAF7E9" w14:textId="77777777" w:rsidR="0035415A"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企业经营信用指企业在开发经营过程中实际履约与合</w:t>
      </w:r>
      <w:proofErr w:type="gramStart"/>
      <w:r>
        <w:rPr>
          <w:rFonts w:ascii="宋体" w:hint="eastAsia"/>
          <w:kern w:val="0"/>
          <w:szCs w:val="20"/>
        </w:rPr>
        <w:t>规</w:t>
      </w:r>
      <w:proofErr w:type="gramEnd"/>
      <w:r>
        <w:rPr>
          <w:rFonts w:ascii="宋体" w:hint="eastAsia"/>
          <w:kern w:val="0"/>
          <w:szCs w:val="20"/>
        </w:rPr>
        <w:t>情况，反映了企业自身在履约与合</w:t>
      </w:r>
      <w:proofErr w:type="gramStart"/>
      <w:r>
        <w:rPr>
          <w:rFonts w:ascii="宋体" w:hint="eastAsia"/>
          <w:kern w:val="0"/>
          <w:szCs w:val="20"/>
        </w:rPr>
        <w:t>规</w:t>
      </w:r>
      <w:proofErr w:type="gramEnd"/>
      <w:r>
        <w:rPr>
          <w:rFonts w:ascii="宋体" w:hint="eastAsia"/>
          <w:kern w:val="0"/>
          <w:szCs w:val="20"/>
        </w:rPr>
        <w:t>上的主观意愿与客观水平。经营信用情况指标以房地产行业相关法律法规、规章与规范性文件为基础，覆盖土地运作到物业管理全流程的各个阶段，涵盖下列二级指标：</w:t>
      </w:r>
    </w:p>
    <w:p w14:paraId="68058E8B" w14:textId="77777777" w:rsidR="0035415A" w:rsidRDefault="00000000">
      <w:pPr>
        <w:pStyle w:val="aff0"/>
        <w:numPr>
          <w:ilvl w:val="0"/>
          <w:numId w:val="21"/>
        </w:numPr>
      </w:pPr>
      <w:r>
        <w:rPr>
          <w:rFonts w:hint="eastAsia"/>
        </w:rPr>
        <w:t>企业开发前期信用：指企业在房地产开发前期各阶段履行相关要求和规定的情况。</w:t>
      </w:r>
    </w:p>
    <w:p w14:paraId="383A4FBA" w14:textId="77777777" w:rsidR="0035415A" w:rsidRDefault="00000000">
      <w:pPr>
        <w:pStyle w:val="aff0"/>
        <w:numPr>
          <w:ilvl w:val="0"/>
          <w:numId w:val="0"/>
        </w:numPr>
        <w:ind w:left="839"/>
      </w:pPr>
      <w:r>
        <w:rPr>
          <w:rFonts w:hint="eastAsia"/>
        </w:rPr>
        <w:t>重点考察企业在土地获取、规划许可相关证书规范办理和供应商招标过程中合理合</w:t>
      </w:r>
      <w:proofErr w:type="gramStart"/>
      <w:r>
        <w:rPr>
          <w:rFonts w:hint="eastAsia"/>
        </w:rPr>
        <w:t>规</w:t>
      </w:r>
      <w:proofErr w:type="gramEnd"/>
      <w:r>
        <w:rPr>
          <w:rFonts w:hint="eastAsia"/>
        </w:rPr>
        <w:t>的情况。</w:t>
      </w:r>
    </w:p>
    <w:p w14:paraId="30115542" w14:textId="77777777" w:rsidR="0035415A" w:rsidRDefault="00000000">
      <w:pPr>
        <w:pStyle w:val="aff0"/>
      </w:pPr>
      <w:r>
        <w:rPr>
          <w:rFonts w:hint="eastAsia"/>
        </w:rPr>
        <w:lastRenderedPageBreak/>
        <w:t>企业建设阶段信用：指企业在房地产项目建设各阶段履行相关要求和规定的情况。</w:t>
      </w:r>
    </w:p>
    <w:p w14:paraId="240091C8" w14:textId="77777777" w:rsidR="0035415A" w:rsidRDefault="00000000">
      <w:pPr>
        <w:pStyle w:val="aff0"/>
        <w:numPr>
          <w:ilvl w:val="0"/>
          <w:numId w:val="0"/>
        </w:numPr>
        <w:ind w:left="839"/>
      </w:pPr>
      <w:r>
        <w:rPr>
          <w:rFonts w:hint="eastAsia"/>
        </w:rPr>
        <w:t>重点考察企业在工程质量保障、进度控制、安全管理完善、竣工验收合</w:t>
      </w:r>
      <w:proofErr w:type="gramStart"/>
      <w:r>
        <w:rPr>
          <w:rFonts w:hint="eastAsia"/>
        </w:rPr>
        <w:t>规</w:t>
      </w:r>
      <w:proofErr w:type="gramEnd"/>
      <w:r>
        <w:rPr>
          <w:rFonts w:hint="eastAsia"/>
        </w:rPr>
        <w:t>等方面的情况。</w:t>
      </w:r>
    </w:p>
    <w:p w14:paraId="44E5601A" w14:textId="77777777" w:rsidR="0035415A" w:rsidRDefault="00000000">
      <w:pPr>
        <w:pStyle w:val="aff0"/>
      </w:pPr>
      <w:r>
        <w:rPr>
          <w:rFonts w:hint="eastAsia"/>
        </w:rPr>
        <w:t>企业租售阶段信用：指企业在房地产营销、不动产物业租赁与运营管理阶段履行相关要求和规定的情况。</w:t>
      </w:r>
    </w:p>
    <w:p w14:paraId="2EA492FF" w14:textId="77777777" w:rsidR="0035415A" w:rsidRDefault="00000000">
      <w:pPr>
        <w:pStyle w:val="aff0"/>
        <w:numPr>
          <w:ilvl w:val="0"/>
          <w:numId w:val="0"/>
        </w:numPr>
        <w:ind w:left="839"/>
      </w:pPr>
      <w:r>
        <w:rPr>
          <w:rFonts w:hint="eastAsia"/>
        </w:rPr>
        <w:t>重点考察企业在房屋租赁或销售的宣传推广、预售和销售、与相关方签订合同和物业租赁运营等方面，是否遵守相关规定、合法合</w:t>
      </w:r>
      <w:proofErr w:type="gramStart"/>
      <w:r>
        <w:rPr>
          <w:rFonts w:hint="eastAsia"/>
        </w:rPr>
        <w:t>规</w:t>
      </w:r>
      <w:proofErr w:type="gramEnd"/>
      <w:r>
        <w:rPr>
          <w:rFonts w:hint="eastAsia"/>
        </w:rPr>
        <w:t>、无欺诈、诚信等情况。</w:t>
      </w:r>
    </w:p>
    <w:p w14:paraId="7AA81A66" w14:textId="77777777" w:rsidR="0035415A" w:rsidRDefault="00000000">
      <w:pPr>
        <w:pStyle w:val="aff0"/>
      </w:pPr>
      <w:r>
        <w:rPr>
          <w:rFonts w:hint="eastAsia"/>
        </w:rPr>
        <w:t>企业前期物业信用：指企业在前期物业环节中履行相关要求和规定的情况。</w:t>
      </w:r>
    </w:p>
    <w:p w14:paraId="1E09AC20" w14:textId="77777777" w:rsidR="0035415A" w:rsidRDefault="00000000">
      <w:pPr>
        <w:pStyle w:val="aff0"/>
        <w:numPr>
          <w:ilvl w:val="0"/>
          <w:numId w:val="0"/>
        </w:numPr>
        <w:ind w:left="839"/>
      </w:pPr>
      <w:r>
        <w:rPr>
          <w:rFonts w:hint="eastAsia"/>
        </w:rPr>
        <w:t>重点考察企业是否按有关规定履行相应责任，包括选聘物业服务企业、签订买卖合同、物业交接备案、支持业主大会等物业管理过程。</w:t>
      </w:r>
    </w:p>
    <w:p w14:paraId="741CFED8" w14:textId="77777777" w:rsidR="0035415A" w:rsidRDefault="00000000">
      <w:pPr>
        <w:pStyle w:val="a2"/>
        <w:spacing w:before="156" w:after="156"/>
      </w:pPr>
      <w:r>
        <w:rPr>
          <w:rFonts w:hint="eastAsia"/>
        </w:rPr>
        <w:t>社会信用情况指标</w:t>
      </w:r>
    </w:p>
    <w:p w14:paraId="17699FA7" w14:textId="77777777" w:rsidR="0035415A" w:rsidRDefault="00000000">
      <w:pPr>
        <w:pStyle w:val="afff1"/>
      </w:pPr>
      <w:r>
        <w:rPr>
          <w:rFonts w:hint="eastAsia"/>
        </w:rPr>
        <w:t>企业社会信用指企业实际履约记录与承担相应社会责任的情况，反映了企业在社会上与其他相关或非相关主体的信用印象与信任水平。社会信用情况指标作为一级指标，涵盖下列二级指标：</w:t>
      </w:r>
    </w:p>
    <w:p w14:paraId="4A1E94D2" w14:textId="77777777" w:rsidR="0035415A" w:rsidRDefault="00000000">
      <w:pPr>
        <w:pStyle w:val="aff0"/>
        <w:numPr>
          <w:ilvl w:val="0"/>
          <w:numId w:val="22"/>
        </w:numPr>
      </w:pPr>
      <w:r>
        <w:rPr>
          <w:rFonts w:hint="eastAsia"/>
        </w:rPr>
        <w:t>企业公共信用信息：指企业在公共机构或部门所记录信用情况。</w:t>
      </w:r>
    </w:p>
    <w:p w14:paraId="12401D40" w14:textId="77777777" w:rsidR="0035415A" w:rsidRDefault="00000000">
      <w:pPr>
        <w:pStyle w:val="aff0"/>
        <w:numPr>
          <w:ilvl w:val="0"/>
          <w:numId w:val="0"/>
        </w:numPr>
        <w:ind w:left="839"/>
      </w:pPr>
      <w:r>
        <w:rPr>
          <w:rFonts w:hint="eastAsia"/>
        </w:rPr>
        <w:t>重点考察企业公共信用记录、纳税贡献率两项指标。</w:t>
      </w:r>
      <w:r>
        <w:t xml:space="preserve"> </w:t>
      </w:r>
    </w:p>
    <w:p w14:paraId="40AED560" w14:textId="77777777" w:rsidR="0035415A" w:rsidRDefault="00000000">
      <w:pPr>
        <w:pStyle w:val="aff0"/>
      </w:pPr>
      <w:r>
        <w:rPr>
          <w:rFonts w:hint="eastAsia"/>
        </w:rPr>
        <w:t>企业对合作方信用：指企业在业务过程中对合作方和相关主体展现出的信用情况。</w:t>
      </w:r>
    </w:p>
    <w:p w14:paraId="0E3C9566" w14:textId="77777777" w:rsidR="0035415A" w:rsidRDefault="00000000">
      <w:pPr>
        <w:pStyle w:val="aff0"/>
        <w:numPr>
          <w:ilvl w:val="0"/>
          <w:numId w:val="0"/>
        </w:numPr>
        <w:ind w:left="839"/>
      </w:pPr>
      <w:r>
        <w:rPr>
          <w:rFonts w:hint="eastAsia"/>
        </w:rPr>
        <w:t>重点考察企业对同级合作单位与上下游合作企业的信用记录情况，以反映企业对于合作方的客观信用情况与主观信用态度。</w:t>
      </w:r>
    </w:p>
    <w:p w14:paraId="453C3582" w14:textId="77777777" w:rsidR="0035415A" w:rsidRDefault="00000000">
      <w:pPr>
        <w:pStyle w:val="aff0"/>
      </w:pPr>
      <w:r>
        <w:rPr>
          <w:rFonts w:hint="eastAsia"/>
        </w:rPr>
        <w:t>企业对股东、投资人信用：指企业对公司股东、投资人展现出的信用情况。</w:t>
      </w:r>
    </w:p>
    <w:p w14:paraId="31DD92B2" w14:textId="77777777" w:rsidR="0035415A" w:rsidRDefault="00000000">
      <w:pPr>
        <w:pStyle w:val="aff0"/>
        <w:numPr>
          <w:ilvl w:val="0"/>
          <w:numId w:val="0"/>
        </w:numPr>
        <w:ind w:left="839"/>
      </w:pPr>
      <w:r>
        <w:rPr>
          <w:rFonts w:hint="eastAsia"/>
        </w:rPr>
        <w:t>重点考察企业按公司章程向股东分红；考察投资人对资产的所有权和支配权的情况。</w:t>
      </w:r>
    </w:p>
    <w:p w14:paraId="1C5181AB" w14:textId="77777777" w:rsidR="0035415A" w:rsidRDefault="00000000">
      <w:pPr>
        <w:pStyle w:val="aff0"/>
      </w:pPr>
      <w:r>
        <w:rPr>
          <w:rFonts w:hint="eastAsia"/>
        </w:rPr>
        <w:t>企业对于员工信用：指企业对内部员工展现出的信用情况。</w:t>
      </w:r>
    </w:p>
    <w:p w14:paraId="7DE85023" w14:textId="77777777" w:rsidR="0035415A" w:rsidRDefault="00000000">
      <w:pPr>
        <w:pStyle w:val="aff0"/>
        <w:numPr>
          <w:ilvl w:val="0"/>
          <w:numId w:val="0"/>
        </w:numPr>
        <w:ind w:left="839"/>
      </w:pPr>
      <w:r>
        <w:rPr>
          <w:rFonts w:hint="eastAsia"/>
        </w:rPr>
        <w:t>重点考察企业为员工缴纳“五险</w:t>
      </w:r>
      <w:proofErr w:type="gramStart"/>
      <w:r>
        <w:rPr>
          <w:rFonts w:hint="eastAsia"/>
        </w:rPr>
        <w:t>一</w:t>
      </w:r>
      <w:proofErr w:type="gramEnd"/>
      <w:r>
        <w:rPr>
          <w:rFonts w:hint="eastAsia"/>
        </w:rPr>
        <w:t>金”与产生劳务纠纷的情况，以反映企业对于员工权益的重视程度和企业对内信用水平。</w:t>
      </w:r>
    </w:p>
    <w:p w14:paraId="545758CF" w14:textId="77777777" w:rsidR="0035415A" w:rsidRDefault="00000000">
      <w:pPr>
        <w:pStyle w:val="aff0"/>
      </w:pPr>
      <w:r>
        <w:rPr>
          <w:rFonts w:hint="eastAsia"/>
        </w:rPr>
        <w:t>社会公共信用：指企业在社会整体中的信用与口碑状况。</w:t>
      </w:r>
    </w:p>
    <w:p w14:paraId="35F6CE0C" w14:textId="77777777" w:rsidR="0035415A" w:rsidRDefault="00000000">
      <w:pPr>
        <w:pStyle w:val="aff0"/>
        <w:numPr>
          <w:ilvl w:val="0"/>
          <w:numId w:val="0"/>
        </w:numPr>
        <w:ind w:left="839"/>
      </w:pPr>
      <w:r>
        <w:rPr>
          <w:rFonts w:hint="eastAsia"/>
        </w:rPr>
        <w:t>重点考察企业对消费者信用记录、参与社会公益情况、公开信用承诺三项指标。</w:t>
      </w:r>
    </w:p>
    <w:p w14:paraId="584B7BD3" w14:textId="77777777" w:rsidR="0035415A" w:rsidRDefault="00000000">
      <w:pPr>
        <w:pStyle w:val="aff0"/>
      </w:pPr>
      <w:r>
        <w:rPr>
          <w:rFonts w:hint="eastAsia"/>
        </w:rPr>
        <w:t>社会荣誉：指企业及企业项目所获荣誉情况。</w:t>
      </w:r>
    </w:p>
    <w:p w14:paraId="62DA22D8" w14:textId="77777777" w:rsidR="0035415A" w:rsidRDefault="00000000">
      <w:pPr>
        <w:pStyle w:val="aff0"/>
        <w:numPr>
          <w:ilvl w:val="0"/>
          <w:numId w:val="0"/>
        </w:numPr>
        <w:ind w:left="839"/>
      </w:pPr>
      <w:r>
        <w:rPr>
          <w:rFonts w:hint="eastAsia"/>
        </w:rPr>
        <w:t>重点考察企业自身荣誉与企业项目荣誉两项指标。</w:t>
      </w:r>
    </w:p>
    <w:p w14:paraId="6577A676" w14:textId="77777777" w:rsidR="0035415A" w:rsidRDefault="00000000">
      <w:pPr>
        <w:pStyle w:val="a2"/>
        <w:spacing w:before="156" w:after="156"/>
      </w:pPr>
      <w:r>
        <w:rPr>
          <w:rFonts w:hint="eastAsia"/>
        </w:rPr>
        <w:t>加分项指标</w:t>
      </w:r>
    </w:p>
    <w:p w14:paraId="3A39EF95" w14:textId="77777777" w:rsidR="0035415A" w:rsidRDefault="00000000">
      <w:pPr>
        <w:pStyle w:val="afff1"/>
      </w:pPr>
      <w:r>
        <w:rPr>
          <w:rFonts w:hint="eastAsia"/>
        </w:rPr>
        <w:t>依据当期国家政策方向变化与鼓励企业发展的意图，设置合理加分项指标，分别为：</w:t>
      </w:r>
    </w:p>
    <w:p w14:paraId="5BA9047D" w14:textId="77777777" w:rsidR="0035415A" w:rsidRDefault="00000000">
      <w:pPr>
        <w:pStyle w:val="aff0"/>
        <w:numPr>
          <w:ilvl w:val="0"/>
          <w:numId w:val="23"/>
        </w:numPr>
      </w:pPr>
      <w:r>
        <w:rPr>
          <w:rFonts w:hint="eastAsia"/>
        </w:rPr>
        <w:t>企业参与特殊项目：指企业参与国家民生或行业推进的特殊项目情况。重点考察企业参与保障性住房、租赁住房项目的建设或运营的情况。</w:t>
      </w:r>
    </w:p>
    <w:p w14:paraId="7E1E15AF" w14:textId="77777777" w:rsidR="0035415A" w:rsidRDefault="00000000">
      <w:pPr>
        <w:pStyle w:val="aff0"/>
        <w:numPr>
          <w:ilvl w:val="0"/>
          <w:numId w:val="23"/>
        </w:numPr>
      </w:pPr>
      <w:r>
        <w:rPr>
          <w:rFonts w:hint="eastAsia"/>
        </w:rPr>
        <w:t>绿色建筑与节能减排：指企业在装配式、绿色建筑与节能减排的参与情况。重点考察企业装配式技术应用和绿色建筑开发建设情况。</w:t>
      </w:r>
    </w:p>
    <w:p w14:paraId="6332D874" w14:textId="77777777" w:rsidR="0035415A" w:rsidRDefault="00000000">
      <w:pPr>
        <w:pStyle w:val="aff0"/>
        <w:numPr>
          <w:ilvl w:val="0"/>
          <w:numId w:val="23"/>
        </w:numPr>
      </w:pPr>
      <w:r>
        <w:rPr>
          <w:rFonts w:hint="eastAsia"/>
        </w:rPr>
        <w:t>企业科技创新与科研成果：指企业在解决房屋质量通病和科技创新层面的理论成果与应用情况。重点考察企业技术创新、学术成果、专利、高新技术和产品应用的情况。</w:t>
      </w:r>
    </w:p>
    <w:p w14:paraId="30A6B9FA" w14:textId="77777777" w:rsidR="0035415A" w:rsidRDefault="00000000">
      <w:pPr>
        <w:pStyle w:val="aff0"/>
        <w:numPr>
          <w:ilvl w:val="0"/>
          <w:numId w:val="23"/>
        </w:numPr>
      </w:pPr>
      <w:r>
        <w:rPr>
          <w:rFonts w:hint="eastAsia"/>
        </w:rPr>
        <w:t>企业风险管理与保险保障：指企业通过保险措施完善风险管理、提高财务保障的情况。重点考察企业财产险与责任险的情况。</w:t>
      </w:r>
    </w:p>
    <w:p w14:paraId="07396B83" w14:textId="77777777" w:rsidR="0035415A" w:rsidRDefault="0035415A">
      <w:pPr>
        <w:pStyle w:val="afff1"/>
      </w:pPr>
    </w:p>
    <w:p w14:paraId="40DE4334" w14:textId="77777777" w:rsidR="0035415A" w:rsidRDefault="00000000">
      <w:pPr>
        <w:pStyle w:val="afff1"/>
      </w:pPr>
      <w:r>
        <w:rPr>
          <w:rFonts w:hint="eastAsia"/>
        </w:rPr>
        <w:t>加分项指标可在每轮评价周期之间进行灵活修改与调整，但应符合如下原则：</w:t>
      </w:r>
    </w:p>
    <w:p w14:paraId="29C4E7BA" w14:textId="77777777" w:rsidR="0035415A" w:rsidRDefault="00000000">
      <w:pPr>
        <w:pStyle w:val="aff1"/>
        <w:numPr>
          <w:ilvl w:val="0"/>
          <w:numId w:val="24"/>
        </w:numPr>
        <w:ind w:left="839" w:hanging="419"/>
      </w:pPr>
      <w:r>
        <w:rPr>
          <w:rFonts w:hint="eastAsia"/>
        </w:rPr>
        <w:t>加分项指标基本设置原则应与基础评价部分一致，符合本文件“5-评价原则”部分的基本要求；</w:t>
      </w:r>
    </w:p>
    <w:p w14:paraId="01FA8924" w14:textId="77777777" w:rsidR="0035415A" w:rsidRDefault="00000000">
      <w:pPr>
        <w:pStyle w:val="aff1"/>
        <w:numPr>
          <w:ilvl w:val="0"/>
          <w:numId w:val="24"/>
        </w:numPr>
        <w:ind w:left="839" w:hanging="419"/>
      </w:pPr>
      <w:r>
        <w:rPr>
          <w:rFonts w:hint="eastAsia"/>
        </w:rPr>
        <w:lastRenderedPageBreak/>
        <w:t>加分项指标内容应依据“鼓励而非强迫”的原则，不得为被评对象的非本职工作设置不合理的门槛或排斥效应；</w:t>
      </w:r>
    </w:p>
    <w:p w14:paraId="036BD0E5" w14:textId="77777777" w:rsidR="0035415A" w:rsidRDefault="00000000">
      <w:pPr>
        <w:pStyle w:val="aff1"/>
        <w:numPr>
          <w:ilvl w:val="0"/>
          <w:numId w:val="24"/>
        </w:numPr>
        <w:ind w:left="839" w:hanging="419"/>
      </w:pPr>
      <w:proofErr w:type="gramStart"/>
      <w:r>
        <w:rPr>
          <w:rFonts w:hint="eastAsia"/>
        </w:rPr>
        <w:t>加分项赋分应</w:t>
      </w:r>
      <w:proofErr w:type="gramEnd"/>
      <w:r>
        <w:rPr>
          <w:rFonts w:hint="eastAsia"/>
        </w:rPr>
        <w:t>遵循审慎原则，其分值不得对企业基础评价部分产生不合理的影响；加分项累计设置分数不得超过企业基础评价部分的5%。</w:t>
      </w:r>
    </w:p>
    <w:p w14:paraId="5A39981D" w14:textId="77777777" w:rsidR="0035415A" w:rsidRDefault="00000000">
      <w:pPr>
        <w:pStyle w:val="a2"/>
        <w:spacing w:before="156" w:after="156"/>
      </w:pPr>
      <w:r>
        <w:rPr>
          <w:rFonts w:hint="eastAsia"/>
        </w:rPr>
        <w:t>一票否决项指标</w:t>
      </w:r>
    </w:p>
    <w:p w14:paraId="6E8D86D6" w14:textId="77777777" w:rsidR="0035415A" w:rsidRDefault="00000000">
      <w:pPr>
        <w:pStyle w:val="afff1"/>
      </w:pPr>
      <w:r>
        <w:rPr>
          <w:rFonts w:hint="eastAsia"/>
        </w:rPr>
        <w:t>为了保证评价工作的示范效应与评价结果的可靠性，本标准设置部分指标的“一票否决项”，对一个考核期限内不符合要求的企业不予评价。一票否决项具体内容参见附录A。</w:t>
      </w:r>
    </w:p>
    <w:p w14:paraId="467AA964" w14:textId="77777777" w:rsidR="0035415A" w:rsidRDefault="0035415A">
      <w:pPr>
        <w:pStyle w:val="afff1"/>
      </w:pPr>
    </w:p>
    <w:p w14:paraId="6AC13FA9" w14:textId="77777777" w:rsidR="0035415A" w:rsidRDefault="00000000">
      <w:pPr>
        <w:pStyle w:val="afff1"/>
      </w:pPr>
      <w:r>
        <w:rPr>
          <w:rFonts w:hint="eastAsia"/>
        </w:rPr>
        <w:t>一票否决项指标具体内容也可根据当期实际情况调整，但应至少涵盖如下方面：</w:t>
      </w:r>
    </w:p>
    <w:p w14:paraId="12B42A89" w14:textId="77777777" w:rsidR="0035415A" w:rsidRDefault="00000000">
      <w:pPr>
        <w:pStyle w:val="aff0"/>
        <w:numPr>
          <w:ilvl w:val="0"/>
          <w:numId w:val="25"/>
        </w:numPr>
      </w:pPr>
      <w:r>
        <w:rPr>
          <w:rFonts w:hint="eastAsia"/>
        </w:rPr>
        <w:t>企业及其部分关联主体曾出现过重大失信行为或违法犯罪行为的；</w:t>
      </w:r>
    </w:p>
    <w:p w14:paraId="24D09214" w14:textId="77777777" w:rsidR="0035415A" w:rsidRDefault="00000000">
      <w:pPr>
        <w:pStyle w:val="aff0"/>
      </w:pPr>
      <w:r>
        <w:rPr>
          <w:rFonts w:hint="eastAsia"/>
        </w:rPr>
        <w:t>企业在业务流程中提供虚假材料、隐瞒真实情况、及采取不正当手段恶性竞争的；</w:t>
      </w:r>
    </w:p>
    <w:p w14:paraId="7080C79A" w14:textId="77777777" w:rsidR="0035415A" w:rsidRDefault="00000000">
      <w:pPr>
        <w:pStyle w:val="aff0"/>
      </w:pPr>
      <w:r>
        <w:rPr>
          <w:rFonts w:hint="eastAsia"/>
        </w:rPr>
        <w:t>企业及其开发项目曾出现重大质量问题/重大安全事故，造成严重后果与重大影响的；</w:t>
      </w:r>
    </w:p>
    <w:p w14:paraId="177663F2" w14:textId="77777777" w:rsidR="0035415A" w:rsidRDefault="00000000">
      <w:pPr>
        <w:pStyle w:val="aff0"/>
      </w:pPr>
      <w:r>
        <w:rPr>
          <w:rFonts w:hint="eastAsia"/>
        </w:rPr>
        <w:t>企业存在其他不当行为，造成恶劣行业与社会影响的。</w:t>
      </w:r>
    </w:p>
    <w:p w14:paraId="33E4FE47" w14:textId="77777777" w:rsidR="0035415A" w:rsidRDefault="00000000">
      <w:pPr>
        <w:pStyle w:val="a2"/>
        <w:numPr>
          <w:ilvl w:val="0"/>
          <w:numId w:val="0"/>
        </w:numPr>
        <w:tabs>
          <w:tab w:val="left" w:pos="839"/>
        </w:tabs>
        <w:spacing w:before="156" w:after="156"/>
      </w:pPr>
      <w:r>
        <w:rPr>
          <w:rFonts w:hint="eastAsia"/>
        </w:rPr>
        <w:t>11.7  单项最低指标</w:t>
      </w:r>
    </w:p>
    <w:p w14:paraId="72FBA895" w14:textId="77777777" w:rsidR="0035415A" w:rsidRDefault="00000000">
      <w:pPr>
        <w:pStyle w:val="aff0"/>
        <w:numPr>
          <w:ilvl w:val="0"/>
          <w:numId w:val="0"/>
        </w:numPr>
        <w:ind w:firstLineChars="200" w:firstLine="420"/>
      </w:pPr>
      <w:r>
        <w:rPr>
          <w:rFonts w:hint="eastAsia"/>
        </w:rPr>
        <w:t>为保证评价结果的正确和可靠，本标准设“单项最低指标”，以规避被评对象因某项指标过度失衡而不能准确反映到评价结果中，导致评价结果失真。</w:t>
      </w:r>
    </w:p>
    <w:p w14:paraId="3B7F3E36" w14:textId="77777777" w:rsidR="0035415A" w:rsidRDefault="00000000">
      <w:pPr>
        <w:pStyle w:val="aff0"/>
        <w:numPr>
          <w:ilvl w:val="0"/>
          <w:numId w:val="0"/>
        </w:numPr>
        <w:ind w:firstLineChars="200" w:firstLine="420"/>
      </w:pPr>
      <w:r>
        <w:rPr>
          <w:rFonts w:hint="eastAsia"/>
        </w:rPr>
        <w:t>单项最低指标是选取部分单项指标组合而成，为确定信用等级结果的必要条件，包括：</w:t>
      </w:r>
    </w:p>
    <w:p w14:paraId="1B826E9E" w14:textId="77777777" w:rsidR="0035415A" w:rsidRDefault="00000000">
      <w:pPr>
        <w:pStyle w:val="aff0"/>
        <w:numPr>
          <w:ilvl w:val="0"/>
          <w:numId w:val="26"/>
        </w:numPr>
      </w:pPr>
      <w:r>
        <w:rPr>
          <w:rFonts w:hint="eastAsia"/>
        </w:rPr>
        <w:t>财务信用能力</w:t>
      </w:r>
    </w:p>
    <w:p w14:paraId="75DA646F" w14:textId="77777777" w:rsidR="0035415A" w:rsidRDefault="00000000">
      <w:pPr>
        <w:pStyle w:val="aff0"/>
        <w:numPr>
          <w:ilvl w:val="0"/>
          <w:numId w:val="26"/>
        </w:numPr>
      </w:pPr>
      <w:r>
        <w:rPr>
          <w:rFonts w:hint="eastAsia"/>
        </w:rPr>
        <w:t>企业建设阶段信用</w:t>
      </w:r>
    </w:p>
    <w:p w14:paraId="564BE9A3" w14:textId="77777777" w:rsidR="0035415A" w:rsidRDefault="00000000">
      <w:pPr>
        <w:pStyle w:val="aff0"/>
        <w:numPr>
          <w:ilvl w:val="0"/>
          <w:numId w:val="26"/>
        </w:numPr>
      </w:pPr>
      <w:r>
        <w:rPr>
          <w:rFonts w:hint="eastAsia"/>
        </w:rPr>
        <w:t>合同履约信用</w:t>
      </w:r>
    </w:p>
    <w:p w14:paraId="394F0109" w14:textId="77777777" w:rsidR="0035415A" w:rsidRDefault="00000000">
      <w:pPr>
        <w:pStyle w:val="aff0"/>
        <w:numPr>
          <w:ilvl w:val="0"/>
          <w:numId w:val="26"/>
        </w:numPr>
      </w:pPr>
      <w:r>
        <w:rPr>
          <w:rFonts w:hint="eastAsia"/>
        </w:rPr>
        <w:t>企业公共信用</w:t>
      </w:r>
    </w:p>
    <w:p w14:paraId="26E7828C" w14:textId="77777777" w:rsidR="0035415A" w:rsidRDefault="00000000">
      <w:pPr>
        <w:pStyle w:val="aff0"/>
        <w:numPr>
          <w:ilvl w:val="0"/>
          <w:numId w:val="0"/>
        </w:numPr>
        <w:ind w:firstLineChars="200" w:firstLine="420"/>
      </w:pPr>
      <w:r>
        <w:rPr>
          <w:rFonts w:hint="eastAsia"/>
        </w:rPr>
        <w:t>AAA信用等级，单项最低指标得分率应为8</w:t>
      </w:r>
      <w:r>
        <w:t>0</w:t>
      </w:r>
      <w:r>
        <w:rPr>
          <w:rFonts w:hint="eastAsia"/>
        </w:rPr>
        <w:t>%（含）以上；AA信用等级，单项最低指标得分率为6</w:t>
      </w:r>
      <w:r>
        <w:t>0</w:t>
      </w:r>
      <w:r>
        <w:rPr>
          <w:rFonts w:hint="eastAsia"/>
        </w:rPr>
        <w:t>%（含）以上；A信用等级，单项最低指标得分率为4</w:t>
      </w:r>
      <w:r>
        <w:t>0</w:t>
      </w:r>
      <w:r>
        <w:rPr>
          <w:rFonts w:hint="eastAsia"/>
        </w:rPr>
        <w:t>%（含）以上。（得分率=得分/分值*100%）</w:t>
      </w:r>
    </w:p>
    <w:p w14:paraId="1A880B41" w14:textId="77777777" w:rsidR="0035415A" w:rsidRDefault="00000000">
      <w:pPr>
        <w:pStyle w:val="aff0"/>
        <w:numPr>
          <w:ilvl w:val="0"/>
          <w:numId w:val="0"/>
        </w:numPr>
        <w:ind w:firstLineChars="200" w:firstLine="420"/>
      </w:pPr>
      <w:r>
        <w:rPr>
          <w:rFonts w:hint="eastAsia"/>
        </w:rPr>
        <w:t>单项最低指标在评价得分转化评价等级结果时采用。如达不到该指标要求，初评等级结果下调一级处理。</w:t>
      </w:r>
    </w:p>
    <w:p w14:paraId="702480A5" w14:textId="77777777" w:rsidR="0035415A" w:rsidRDefault="00000000">
      <w:pPr>
        <w:pStyle w:val="aff0"/>
        <w:numPr>
          <w:ilvl w:val="0"/>
          <w:numId w:val="0"/>
        </w:numPr>
        <w:ind w:firstLineChars="200" w:firstLine="420"/>
      </w:pPr>
      <w:r>
        <w:rPr>
          <w:rFonts w:hint="eastAsia"/>
        </w:rPr>
        <w:t>“单项最低指标”可在每轮评价周期期间，依据国家政策方向变化和鼓励企业发展意图调整指标参数。</w:t>
      </w:r>
      <w:proofErr w:type="gramStart"/>
      <w:r>
        <w:rPr>
          <w:rFonts w:hint="eastAsia"/>
        </w:rPr>
        <w:t>自标准</w:t>
      </w:r>
      <w:proofErr w:type="gramEnd"/>
      <w:r>
        <w:rPr>
          <w:rFonts w:hint="eastAsia"/>
        </w:rPr>
        <w:t>发布之</w:t>
      </w:r>
      <w:proofErr w:type="gramStart"/>
      <w:r>
        <w:rPr>
          <w:rFonts w:hint="eastAsia"/>
        </w:rPr>
        <w:t>日起设二年</w:t>
      </w:r>
      <w:proofErr w:type="gramEnd"/>
      <w:r>
        <w:rPr>
          <w:rFonts w:hint="eastAsia"/>
        </w:rPr>
        <w:t>过渡期。</w:t>
      </w:r>
    </w:p>
    <w:p w14:paraId="43683772" w14:textId="77777777" w:rsidR="0035415A" w:rsidRDefault="0035415A">
      <w:pPr>
        <w:pStyle w:val="aff0"/>
        <w:numPr>
          <w:ilvl w:val="0"/>
          <w:numId w:val="0"/>
        </w:numPr>
      </w:pPr>
    </w:p>
    <w:p w14:paraId="1023F3D9" w14:textId="77777777" w:rsidR="0035415A" w:rsidRDefault="0035415A">
      <w:pPr>
        <w:widowControl/>
        <w:jc w:val="left"/>
        <w:rPr>
          <w:rFonts w:ascii="宋体"/>
        </w:rPr>
        <w:sectPr w:rsidR="0035415A">
          <w:pgSz w:w="11906" w:h="16838"/>
          <w:pgMar w:top="567" w:right="1134" w:bottom="1134" w:left="1418" w:header="1418" w:footer="1134" w:gutter="0"/>
          <w:pgNumType w:start="1"/>
          <w:cols w:space="425"/>
          <w:formProt w:val="0"/>
          <w:docGrid w:type="lines" w:linePitch="312"/>
        </w:sectPr>
      </w:pPr>
    </w:p>
    <w:p w14:paraId="4E4E80BB" w14:textId="77777777" w:rsidR="0035415A" w:rsidRDefault="00000000">
      <w:pPr>
        <w:pStyle w:val="af8"/>
      </w:pPr>
      <w:bookmarkStart w:id="112" w:name="_Toc26720"/>
      <w:bookmarkStart w:id="113" w:name="_Toc5184"/>
      <w:bookmarkStart w:id="114" w:name="_Toc16376"/>
      <w:bookmarkStart w:id="115" w:name="_Toc27611"/>
      <w:bookmarkStart w:id="116" w:name="_Toc25986"/>
      <w:r>
        <w:lastRenderedPageBreak/>
        <w:br/>
      </w:r>
      <w:bookmarkStart w:id="117" w:name="_Toc44414107"/>
      <w:bookmarkStart w:id="118" w:name="_Toc52288522"/>
      <w:bookmarkStart w:id="119" w:name="_Toc74143782"/>
      <w:bookmarkStart w:id="120" w:name="_Toc71478580"/>
      <w:r>
        <w:rPr>
          <w:rFonts w:hint="eastAsia"/>
        </w:rPr>
        <w:t>（规范性附录）</w:t>
      </w:r>
      <w:r>
        <w:br/>
      </w:r>
      <w:bookmarkEnd w:id="117"/>
      <w:bookmarkEnd w:id="118"/>
      <w:r>
        <w:rPr>
          <w:rFonts w:hint="eastAsia"/>
        </w:rPr>
        <w:t>房地产开发企业信用评价指标体系</w:t>
      </w:r>
      <w:bookmarkEnd w:id="112"/>
      <w:bookmarkEnd w:id="113"/>
      <w:bookmarkEnd w:id="114"/>
      <w:bookmarkEnd w:id="115"/>
      <w:bookmarkEnd w:id="116"/>
      <w:bookmarkEnd w:id="119"/>
      <w:bookmarkEnd w:id="120"/>
    </w:p>
    <w:p w14:paraId="34AD68EA" w14:textId="77777777" w:rsidR="0035415A" w:rsidRDefault="00000000">
      <w:pPr>
        <w:pStyle w:val="af7"/>
        <w:numPr>
          <w:ilvl w:val="0"/>
          <w:numId w:val="0"/>
        </w:numPr>
        <w:spacing w:before="156" w:after="156"/>
      </w:pPr>
      <w:r>
        <w:rPr>
          <w:rFonts w:hint="eastAsia"/>
        </w:rPr>
        <w:t>表A.</w:t>
      </w:r>
      <w:r>
        <w:t xml:space="preserve">1  </w:t>
      </w:r>
      <w:r>
        <w:rPr>
          <w:rFonts w:hint="eastAsia"/>
        </w:rPr>
        <w:t>房地产开发企业信用评价指标体系</w:t>
      </w:r>
    </w:p>
    <w:tbl>
      <w:tblPr>
        <w:tblStyle w:val="110"/>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66"/>
        <w:gridCol w:w="1376"/>
        <w:gridCol w:w="1701"/>
        <w:gridCol w:w="854"/>
        <w:gridCol w:w="3965"/>
        <w:gridCol w:w="6055"/>
      </w:tblGrid>
      <w:tr w:rsidR="0035415A" w14:paraId="11D34282" w14:textId="77777777">
        <w:trPr>
          <w:cantSplit/>
          <w:tblHeader/>
          <w:jc w:val="center"/>
        </w:trPr>
        <w:tc>
          <w:tcPr>
            <w:tcW w:w="1166" w:type="dxa"/>
            <w:tcBorders>
              <w:top w:val="single" w:sz="8" w:space="0" w:color="auto"/>
              <w:left w:val="single" w:sz="8" w:space="0" w:color="auto"/>
              <w:bottom w:val="single" w:sz="8" w:space="0" w:color="auto"/>
              <w:right w:val="single" w:sz="4" w:space="0" w:color="auto"/>
            </w:tcBorders>
            <w:vAlign w:val="center"/>
          </w:tcPr>
          <w:p w14:paraId="7B9EB0D2" w14:textId="77777777" w:rsidR="0035415A" w:rsidRDefault="00000000">
            <w:pPr>
              <w:jc w:val="center"/>
              <w:rPr>
                <w:rFonts w:asciiTheme="minorHAnsi" w:eastAsiaTheme="minorEastAsia" w:hAnsiTheme="minorHAnsi" w:cstheme="minorBidi"/>
                <w:b/>
                <w:bCs/>
                <w:sz w:val="18"/>
                <w:szCs w:val="18"/>
              </w:rPr>
            </w:pPr>
            <w:r>
              <w:rPr>
                <w:rFonts w:asciiTheme="minorHAnsi" w:eastAsiaTheme="minorEastAsia" w:hAnsiTheme="minorHAnsi" w:cstheme="minorBidi"/>
                <w:b/>
                <w:bCs/>
                <w:sz w:val="18"/>
                <w:szCs w:val="18"/>
              </w:rPr>
              <w:fldChar w:fldCharType="begin"/>
            </w:r>
            <w:r>
              <w:rPr>
                <w:rFonts w:asciiTheme="minorHAnsi" w:eastAsiaTheme="minorEastAsia" w:hAnsiTheme="minorHAnsi" w:cstheme="minorBidi"/>
                <w:b/>
                <w:bCs/>
              </w:rPr>
              <w:instrText xml:space="preserve"> XE "</w:instrText>
            </w:r>
            <w:r>
              <w:rPr>
                <w:rFonts w:asciiTheme="minorHAnsi" w:eastAsiaTheme="minorEastAsia" w:hAnsiTheme="minorHAnsi" w:cstheme="minorBidi" w:hint="eastAsia"/>
                <w:b/>
                <w:bCs/>
              </w:rPr>
              <w:instrText>条文</w:instrText>
            </w:r>
            <w:r>
              <w:rPr>
                <w:rFonts w:asciiTheme="minorHAnsi" w:eastAsiaTheme="minorEastAsia" w:hAnsiTheme="minorHAnsi" w:cstheme="minorBidi"/>
                <w:b/>
                <w:bCs/>
              </w:rPr>
              <w:instrText xml:space="preserve">" \t "6.2.2.2" </w:instrText>
            </w:r>
            <w:r>
              <w:rPr>
                <w:rFonts w:asciiTheme="minorHAnsi" w:eastAsiaTheme="minorEastAsia" w:hAnsiTheme="minorHAnsi" w:cstheme="minorBidi"/>
                <w:b/>
                <w:bCs/>
                <w:sz w:val="18"/>
                <w:szCs w:val="18"/>
              </w:rPr>
              <w:fldChar w:fldCharType="end"/>
            </w:r>
            <w:r>
              <w:rPr>
                <w:rFonts w:asciiTheme="minorHAnsi" w:eastAsiaTheme="minorEastAsia" w:hAnsiTheme="minorHAnsi" w:cstheme="minorBidi"/>
                <w:b/>
                <w:bCs/>
                <w:sz w:val="18"/>
                <w:szCs w:val="18"/>
              </w:rPr>
              <w:t xml:space="preserve"> </w:t>
            </w:r>
            <w:r>
              <w:rPr>
                <w:rFonts w:asciiTheme="minorHAnsi" w:eastAsiaTheme="minorEastAsia" w:hAnsiTheme="minorHAnsi" w:cstheme="minorBidi" w:hint="eastAsia"/>
                <w:b/>
                <w:bCs/>
                <w:sz w:val="18"/>
                <w:szCs w:val="18"/>
              </w:rPr>
              <w:t>一级指标</w:t>
            </w:r>
          </w:p>
        </w:tc>
        <w:tc>
          <w:tcPr>
            <w:tcW w:w="1376" w:type="dxa"/>
            <w:tcBorders>
              <w:top w:val="single" w:sz="8" w:space="0" w:color="auto"/>
              <w:left w:val="single" w:sz="4" w:space="0" w:color="auto"/>
              <w:bottom w:val="single" w:sz="8" w:space="0" w:color="auto"/>
              <w:right w:val="single" w:sz="4" w:space="0" w:color="auto"/>
            </w:tcBorders>
            <w:vAlign w:val="center"/>
          </w:tcPr>
          <w:p w14:paraId="11F26400" w14:textId="77777777" w:rsidR="0035415A" w:rsidRDefault="00000000">
            <w:pPr>
              <w:jc w:val="center"/>
              <w:rPr>
                <w:rFonts w:asciiTheme="minorHAnsi" w:eastAsiaTheme="minorEastAsia" w:hAnsiTheme="minorHAnsi" w:cstheme="minorBidi"/>
                <w:b/>
                <w:bCs/>
                <w:sz w:val="18"/>
                <w:szCs w:val="18"/>
              </w:rPr>
            </w:pPr>
            <w:r>
              <w:rPr>
                <w:rFonts w:asciiTheme="minorHAnsi" w:eastAsiaTheme="minorEastAsia" w:hAnsiTheme="minorHAnsi" w:cstheme="minorBidi" w:hint="eastAsia"/>
                <w:b/>
                <w:bCs/>
                <w:sz w:val="18"/>
                <w:szCs w:val="18"/>
              </w:rPr>
              <w:t>二级指标</w:t>
            </w:r>
          </w:p>
        </w:tc>
        <w:tc>
          <w:tcPr>
            <w:tcW w:w="1701" w:type="dxa"/>
            <w:tcBorders>
              <w:top w:val="single" w:sz="8" w:space="0" w:color="auto"/>
              <w:left w:val="single" w:sz="4" w:space="0" w:color="auto"/>
              <w:bottom w:val="single" w:sz="8" w:space="0" w:color="auto"/>
              <w:right w:val="single" w:sz="4" w:space="0" w:color="auto"/>
            </w:tcBorders>
            <w:vAlign w:val="center"/>
          </w:tcPr>
          <w:p w14:paraId="1AF30348" w14:textId="77777777" w:rsidR="0035415A" w:rsidRDefault="00000000">
            <w:pPr>
              <w:jc w:val="center"/>
              <w:rPr>
                <w:rFonts w:asciiTheme="minorHAnsi" w:eastAsiaTheme="minorEastAsia" w:hAnsiTheme="minorHAnsi" w:cstheme="minorBidi"/>
                <w:b/>
                <w:bCs/>
                <w:sz w:val="18"/>
                <w:szCs w:val="18"/>
              </w:rPr>
            </w:pPr>
            <w:r>
              <w:rPr>
                <w:rFonts w:asciiTheme="minorHAnsi" w:eastAsiaTheme="minorEastAsia" w:hAnsiTheme="minorHAnsi" w:cstheme="minorBidi" w:hint="eastAsia"/>
                <w:b/>
                <w:bCs/>
                <w:sz w:val="18"/>
                <w:szCs w:val="18"/>
              </w:rPr>
              <w:t>三级指标</w:t>
            </w:r>
          </w:p>
        </w:tc>
        <w:tc>
          <w:tcPr>
            <w:tcW w:w="854" w:type="dxa"/>
            <w:tcBorders>
              <w:top w:val="single" w:sz="8" w:space="0" w:color="auto"/>
              <w:left w:val="single" w:sz="4" w:space="0" w:color="auto"/>
              <w:bottom w:val="single" w:sz="8" w:space="0" w:color="auto"/>
              <w:right w:val="single" w:sz="4" w:space="0" w:color="auto"/>
            </w:tcBorders>
            <w:vAlign w:val="center"/>
          </w:tcPr>
          <w:p w14:paraId="77D1AC3B" w14:textId="77777777" w:rsidR="0035415A" w:rsidRDefault="00000000">
            <w:pPr>
              <w:jc w:val="center"/>
              <w:rPr>
                <w:rFonts w:asciiTheme="minorHAnsi" w:eastAsiaTheme="minorEastAsia" w:hAnsiTheme="minorHAnsi" w:cstheme="minorBidi"/>
                <w:b/>
                <w:bCs/>
                <w:sz w:val="18"/>
                <w:szCs w:val="18"/>
              </w:rPr>
            </w:pPr>
            <w:r>
              <w:rPr>
                <w:rFonts w:asciiTheme="minorHAnsi" w:eastAsiaTheme="minorEastAsia" w:hAnsiTheme="minorHAnsi" w:cstheme="minorBidi" w:hint="eastAsia"/>
                <w:b/>
                <w:bCs/>
                <w:sz w:val="18"/>
                <w:szCs w:val="18"/>
              </w:rPr>
              <w:t>分值</w:t>
            </w:r>
          </w:p>
        </w:tc>
        <w:tc>
          <w:tcPr>
            <w:tcW w:w="3965" w:type="dxa"/>
            <w:tcBorders>
              <w:top w:val="single" w:sz="8" w:space="0" w:color="auto"/>
              <w:left w:val="single" w:sz="4" w:space="0" w:color="auto"/>
              <w:bottom w:val="single" w:sz="8" w:space="0" w:color="auto"/>
              <w:right w:val="single" w:sz="4" w:space="0" w:color="auto"/>
            </w:tcBorders>
            <w:vAlign w:val="center"/>
          </w:tcPr>
          <w:p w14:paraId="41C953C9" w14:textId="77777777" w:rsidR="0035415A" w:rsidRDefault="00000000">
            <w:pPr>
              <w:jc w:val="center"/>
              <w:rPr>
                <w:rFonts w:asciiTheme="minorHAnsi" w:eastAsiaTheme="minorEastAsia" w:hAnsiTheme="minorHAnsi" w:cstheme="minorBidi"/>
                <w:b/>
                <w:bCs/>
                <w:sz w:val="18"/>
                <w:szCs w:val="18"/>
              </w:rPr>
            </w:pPr>
            <w:r>
              <w:rPr>
                <w:rFonts w:asciiTheme="minorHAnsi" w:eastAsiaTheme="minorEastAsia" w:hAnsiTheme="minorHAnsi" w:cstheme="minorBidi" w:hint="eastAsia"/>
                <w:b/>
                <w:bCs/>
                <w:sz w:val="18"/>
                <w:szCs w:val="18"/>
              </w:rPr>
              <w:t>指标说明</w:t>
            </w:r>
          </w:p>
        </w:tc>
        <w:tc>
          <w:tcPr>
            <w:tcW w:w="6055" w:type="dxa"/>
            <w:tcBorders>
              <w:top w:val="single" w:sz="8" w:space="0" w:color="auto"/>
              <w:left w:val="single" w:sz="4" w:space="0" w:color="auto"/>
              <w:bottom w:val="single" w:sz="8" w:space="0" w:color="auto"/>
              <w:right w:val="single" w:sz="8" w:space="0" w:color="auto"/>
            </w:tcBorders>
            <w:vAlign w:val="center"/>
          </w:tcPr>
          <w:p w14:paraId="63A025B3" w14:textId="77777777" w:rsidR="0035415A" w:rsidRDefault="00000000">
            <w:pPr>
              <w:jc w:val="center"/>
              <w:rPr>
                <w:rFonts w:asciiTheme="minorHAnsi" w:eastAsiaTheme="minorEastAsia" w:hAnsiTheme="minorHAnsi" w:cstheme="minorBidi"/>
                <w:b/>
                <w:bCs/>
                <w:sz w:val="18"/>
                <w:szCs w:val="18"/>
              </w:rPr>
            </w:pPr>
            <w:r>
              <w:rPr>
                <w:rFonts w:asciiTheme="minorHAnsi" w:eastAsiaTheme="minorEastAsia" w:hAnsiTheme="minorHAnsi" w:cstheme="minorBidi" w:hint="eastAsia"/>
                <w:b/>
                <w:bCs/>
                <w:sz w:val="18"/>
                <w:szCs w:val="18"/>
              </w:rPr>
              <w:t>评价标准</w:t>
            </w:r>
          </w:p>
        </w:tc>
      </w:tr>
      <w:tr w:rsidR="0035415A" w14:paraId="2EA7EF65" w14:textId="77777777">
        <w:trPr>
          <w:cantSplit/>
          <w:jc w:val="center"/>
        </w:trPr>
        <w:tc>
          <w:tcPr>
            <w:tcW w:w="1166" w:type="dxa"/>
            <w:vMerge w:val="restart"/>
            <w:tcBorders>
              <w:top w:val="single" w:sz="8" w:space="0" w:color="auto"/>
              <w:left w:val="single" w:sz="8" w:space="0" w:color="auto"/>
              <w:bottom w:val="single" w:sz="4" w:space="0" w:color="auto"/>
              <w:right w:val="single" w:sz="4" w:space="0" w:color="auto"/>
            </w:tcBorders>
            <w:vAlign w:val="center"/>
          </w:tcPr>
          <w:p w14:paraId="70AB4014" w14:textId="77777777" w:rsidR="0035415A" w:rsidRDefault="00000000">
            <w:pPr>
              <w:widowControl/>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 xml:space="preserve">1. </w:t>
            </w:r>
            <w:r>
              <w:rPr>
                <w:rFonts w:asciiTheme="minorHAnsi" w:eastAsiaTheme="minorEastAsia" w:hAnsiTheme="minorHAnsi" w:cstheme="minorBidi" w:hint="eastAsia"/>
                <w:sz w:val="18"/>
                <w:szCs w:val="18"/>
              </w:rPr>
              <w:t>企业客观信用能力</w:t>
            </w:r>
          </w:p>
          <w:p w14:paraId="74C62AB6" w14:textId="77777777" w:rsidR="0035415A" w:rsidRDefault="00000000">
            <w:pPr>
              <w:widowControl/>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25</w:t>
            </w:r>
            <w:r>
              <w:rPr>
                <w:rFonts w:asciiTheme="minorHAnsi" w:eastAsiaTheme="minorEastAsia" w:hAnsiTheme="minorHAnsi" w:cstheme="minorBidi" w:hint="eastAsia"/>
                <w:sz w:val="18"/>
                <w:szCs w:val="18"/>
              </w:rPr>
              <w:t>分）</w:t>
            </w:r>
          </w:p>
        </w:tc>
        <w:tc>
          <w:tcPr>
            <w:tcW w:w="1376" w:type="dxa"/>
            <w:tcBorders>
              <w:top w:val="single" w:sz="8" w:space="0" w:color="auto"/>
              <w:left w:val="single" w:sz="4" w:space="0" w:color="auto"/>
              <w:bottom w:val="single" w:sz="4" w:space="0" w:color="auto"/>
              <w:right w:val="single" w:sz="4" w:space="0" w:color="auto"/>
            </w:tcBorders>
            <w:vAlign w:val="center"/>
          </w:tcPr>
          <w:p w14:paraId="7161743C"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w:t>
            </w:r>
            <w:r>
              <w:rPr>
                <w:rFonts w:asciiTheme="minorHAnsi" w:eastAsiaTheme="minorEastAsia" w:hAnsiTheme="minorHAnsi" w:cstheme="minorBidi"/>
                <w:sz w:val="18"/>
                <w:szCs w:val="18"/>
              </w:rPr>
              <w:t xml:space="preserve">.1 </w:t>
            </w:r>
            <w:r>
              <w:rPr>
                <w:rFonts w:asciiTheme="minorHAnsi" w:eastAsiaTheme="minorEastAsia" w:hAnsiTheme="minorHAnsi" w:cstheme="minorBidi" w:hint="eastAsia"/>
                <w:sz w:val="18"/>
                <w:szCs w:val="18"/>
              </w:rPr>
              <w:t>经营信息</w:t>
            </w:r>
          </w:p>
          <w:p w14:paraId="42B52632"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c>
          <w:tcPr>
            <w:tcW w:w="1701" w:type="dxa"/>
            <w:tcBorders>
              <w:top w:val="single" w:sz="8" w:space="0" w:color="auto"/>
              <w:left w:val="single" w:sz="4" w:space="0" w:color="auto"/>
              <w:bottom w:val="single" w:sz="4" w:space="0" w:color="auto"/>
              <w:right w:val="single" w:sz="4" w:space="0" w:color="auto"/>
            </w:tcBorders>
            <w:vAlign w:val="center"/>
          </w:tcPr>
          <w:p w14:paraId="3A872481"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1.1.1</w:t>
            </w:r>
          </w:p>
          <w:p w14:paraId="6D90489F"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经营年限</w:t>
            </w:r>
          </w:p>
        </w:tc>
        <w:tc>
          <w:tcPr>
            <w:tcW w:w="854" w:type="dxa"/>
            <w:tcBorders>
              <w:top w:val="single" w:sz="8" w:space="0" w:color="auto"/>
              <w:left w:val="single" w:sz="4" w:space="0" w:color="auto"/>
              <w:bottom w:val="single" w:sz="4" w:space="0" w:color="auto"/>
              <w:right w:val="single" w:sz="4" w:space="0" w:color="auto"/>
            </w:tcBorders>
            <w:vAlign w:val="center"/>
          </w:tcPr>
          <w:p w14:paraId="533EDAD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c>
          <w:tcPr>
            <w:tcW w:w="3965" w:type="dxa"/>
            <w:tcBorders>
              <w:top w:val="single" w:sz="8" w:space="0" w:color="auto"/>
              <w:left w:val="single" w:sz="4" w:space="0" w:color="auto"/>
              <w:bottom w:val="single" w:sz="4" w:space="0" w:color="auto"/>
              <w:right w:val="single" w:sz="4" w:space="0" w:color="auto"/>
            </w:tcBorders>
            <w:vAlign w:val="center"/>
          </w:tcPr>
          <w:p w14:paraId="2D5E7DA4"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经营年限是企业建设与成长的年限，一定程度反映企业信用建设，两者正相关。</w:t>
            </w:r>
          </w:p>
        </w:tc>
        <w:tc>
          <w:tcPr>
            <w:tcW w:w="6055" w:type="dxa"/>
            <w:tcBorders>
              <w:top w:val="single" w:sz="8" w:space="0" w:color="auto"/>
              <w:left w:val="single" w:sz="4" w:space="0" w:color="auto"/>
              <w:bottom w:val="single" w:sz="4" w:space="0" w:color="auto"/>
              <w:right w:val="single" w:sz="8" w:space="0" w:color="auto"/>
            </w:tcBorders>
            <w:vAlign w:val="center"/>
          </w:tcPr>
          <w:p w14:paraId="1D06C902"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企业经营年限</w:t>
            </w:r>
            <w:r>
              <w:rPr>
                <w:rFonts w:asciiTheme="minorHAnsi" w:eastAsiaTheme="minorEastAsia" w:hAnsiTheme="minorHAnsi" w:cstheme="minorBidi" w:hint="eastAsia"/>
                <w:sz w:val="18"/>
                <w:szCs w:val="18"/>
              </w:rPr>
              <w:t>5</w:t>
            </w:r>
            <w:r>
              <w:rPr>
                <w:rFonts w:asciiTheme="minorHAnsi" w:eastAsiaTheme="minorEastAsia" w:hAnsiTheme="minorHAnsi" w:cstheme="minorBidi" w:hint="eastAsia"/>
                <w:sz w:val="18"/>
                <w:szCs w:val="18"/>
              </w:rPr>
              <w:t>年（含</w:t>
            </w:r>
            <w:r>
              <w:rPr>
                <w:rFonts w:asciiTheme="minorHAnsi" w:eastAsiaTheme="minorEastAsia" w:hAnsiTheme="minorHAnsi" w:cstheme="minorBidi" w:hint="eastAsia"/>
                <w:sz w:val="18"/>
                <w:szCs w:val="18"/>
              </w:rPr>
              <w:t>5</w:t>
            </w:r>
            <w:r>
              <w:rPr>
                <w:rFonts w:asciiTheme="minorHAnsi" w:eastAsiaTheme="minorEastAsia" w:hAnsiTheme="minorHAnsi" w:cstheme="minorBidi" w:hint="eastAsia"/>
                <w:sz w:val="18"/>
                <w:szCs w:val="18"/>
              </w:rPr>
              <w:t>年）及以上得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285A0FB2"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3-5</w:t>
            </w:r>
            <w:r>
              <w:rPr>
                <w:rFonts w:asciiTheme="minorHAnsi" w:eastAsiaTheme="minorEastAsia" w:hAnsiTheme="minorHAnsi" w:cstheme="minorBidi" w:hint="eastAsia"/>
                <w:sz w:val="18"/>
                <w:szCs w:val="18"/>
              </w:rPr>
              <w:t>年（含</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年）得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w:t>
            </w:r>
          </w:p>
          <w:p w14:paraId="2218DB7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年以下得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tc>
      </w:tr>
      <w:tr w:rsidR="0035415A" w14:paraId="3EA0E09E"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7B97D200" w14:textId="77777777" w:rsidR="0035415A" w:rsidRDefault="0035415A">
            <w:pPr>
              <w:jc w:val="center"/>
              <w:rPr>
                <w:rFonts w:asciiTheme="minorHAnsi" w:eastAsiaTheme="minorEastAsia" w:hAnsiTheme="minorHAnsi" w:cstheme="minorBidi"/>
                <w:sz w:val="18"/>
                <w:szCs w:val="18"/>
              </w:rPr>
            </w:pPr>
          </w:p>
        </w:tc>
        <w:tc>
          <w:tcPr>
            <w:tcW w:w="1376" w:type="dxa"/>
            <w:vMerge w:val="restart"/>
            <w:tcBorders>
              <w:top w:val="single" w:sz="4" w:space="0" w:color="auto"/>
              <w:left w:val="single" w:sz="4" w:space="0" w:color="auto"/>
              <w:bottom w:val="single" w:sz="4" w:space="0" w:color="auto"/>
              <w:right w:val="single" w:sz="4" w:space="0" w:color="auto"/>
            </w:tcBorders>
            <w:vAlign w:val="center"/>
          </w:tcPr>
          <w:p w14:paraId="0A6041D0"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w:t>
            </w:r>
            <w:r>
              <w:rPr>
                <w:rFonts w:asciiTheme="minorHAnsi" w:eastAsiaTheme="minorEastAsia" w:hAnsiTheme="minorHAnsi" w:cstheme="minorBidi"/>
                <w:sz w:val="18"/>
                <w:szCs w:val="18"/>
              </w:rPr>
              <w:t xml:space="preserve">.2 </w:t>
            </w:r>
            <w:r>
              <w:rPr>
                <w:rFonts w:asciiTheme="minorHAnsi" w:eastAsiaTheme="minorEastAsia" w:hAnsiTheme="minorHAnsi" w:cstheme="minorBidi" w:hint="eastAsia"/>
                <w:sz w:val="18"/>
                <w:szCs w:val="18"/>
              </w:rPr>
              <w:t>开发能力</w:t>
            </w:r>
          </w:p>
          <w:p w14:paraId="29C98D20"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3437BFD2"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1.2.1</w:t>
            </w:r>
          </w:p>
          <w:p w14:paraId="59C6A1CC"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竣工面积</w:t>
            </w:r>
          </w:p>
        </w:tc>
        <w:tc>
          <w:tcPr>
            <w:tcW w:w="854" w:type="dxa"/>
            <w:tcBorders>
              <w:top w:val="single" w:sz="4" w:space="0" w:color="auto"/>
              <w:left w:val="single" w:sz="4" w:space="0" w:color="auto"/>
              <w:bottom w:val="single" w:sz="4" w:space="0" w:color="auto"/>
              <w:right w:val="single" w:sz="4" w:space="0" w:color="auto"/>
            </w:tcBorders>
            <w:vAlign w:val="center"/>
          </w:tcPr>
          <w:p w14:paraId="3439E607"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2C3A68FF"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根据企业房地产开发资质等级，评价企业近三年的开发能力。</w:t>
            </w:r>
          </w:p>
        </w:tc>
        <w:tc>
          <w:tcPr>
            <w:tcW w:w="6055" w:type="dxa"/>
            <w:tcBorders>
              <w:top w:val="single" w:sz="4" w:space="0" w:color="auto"/>
              <w:left w:val="single" w:sz="4" w:space="0" w:color="auto"/>
              <w:bottom w:val="single" w:sz="4" w:space="0" w:color="auto"/>
              <w:right w:val="single" w:sz="8" w:space="0" w:color="auto"/>
            </w:tcBorders>
            <w:vAlign w:val="center"/>
          </w:tcPr>
          <w:p w14:paraId="57DAB8EE"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企业近三年累计竣工量</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本级资质要求的最低竣工量，比值大于</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（含</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分；比值在</w:t>
            </w:r>
            <w:r>
              <w:rPr>
                <w:rFonts w:asciiTheme="minorHAnsi" w:eastAsiaTheme="minorEastAsia" w:hAnsiTheme="minorHAnsi" w:cstheme="minorBidi" w:hint="eastAsia"/>
                <w:sz w:val="18"/>
                <w:szCs w:val="18"/>
              </w:rPr>
              <w:t>0.5-1</w:t>
            </w:r>
            <w:r>
              <w:rPr>
                <w:rFonts w:asciiTheme="minorHAnsi" w:eastAsiaTheme="minorEastAsia" w:hAnsiTheme="minorHAnsi" w:cstheme="minorBidi" w:hint="eastAsia"/>
                <w:sz w:val="18"/>
                <w:szCs w:val="18"/>
              </w:rPr>
              <w:t>（含</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分；比值小于</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7CF5686F"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当地施工期小于</w:t>
            </w:r>
            <w:r>
              <w:rPr>
                <w:rFonts w:asciiTheme="minorHAnsi" w:eastAsiaTheme="minorEastAsia" w:hAnsiTheme="minorHAnsi" w:cstheme="minorBidi" w:hint="eastAsia"/>
                <w:sz w:val="18"/>
                <w:szCs w:val="18"/>
              </w:rPr>
              <w:t>8</w:t>
            </w:r>
            <w:r>
              <w:rPr>
                <w:rFonts w:asciiTheme="minorHAnsi" w:eastAsiaTheme="minorEastAsia" w:hAnsiTheme="minorHAnsi" w:cstheme="minorBidi" w:hint="eastAsia"/>
                <w:sz w:val="18"/>
                <w:szCs w:val="18"/>
              </w:rPr>
              <w:t>个月的，在计算竣工量时乘以</w:t>
            </w:r>
            <w:r>
              <w:rPr>
                <w:rFonts w:asciiTheme="minorHAnsi" w:eastAsiaTheme="minorEastAsia" w:hAnsiTheme="minorHAnsi" w:cstheme="minorBidi" w:hint="eastAsia"/>
                <w:sz w:val="18"/>
                <w:szCs w:val="18"/>
              </w:rPr>
              <w:t>1.3</w:t>
            </w:r>
            <w:r>
              <w:rPr>
                <w:rFonts w:asciiTheme="minorHAnsi" w:eastAsiaTheme="minorEastAsia" w:hAnsiTheme="minorHAnsi" w:cstheme="minorBidi" w:hint="eastAsia"/>
                <w:sz w:val="18"/>
                <w:szCs w:val="18"/>
              </w:rPr>
              <w:t>。</w:t>
            </w:r>
          </w:p>
          <w:p w14:paraId="6DB472B1"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其中，合作开发项目应按所持股份比例计算实际竣工量。</w:t>
            </w:r>
          </w:p>
        </w:tc>
      </w:tr>
      <w:tr w:rsidR="0035415A" w14:paraId="7CF33A12"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3CD5F207"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6B2CE35"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49DB506"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1.2.2</w:t>
            </w:r>
          </w:p>
          <w:p w14:paraId="71368510"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施工面积</w:t>
            </w:r>
          </w:p>
        </w:tc>
        <w:tc>
          <w:tcPr>
            <w:tcW w:w="854" w:type="dxa"/>
            <w:tcBorders>
              <w:top w:val="single" w:sz="4" w:space="0" w:color="auto"/>
              <w:left w:val="single" w:sz="4" w:space="0" w:color="auto"/>
              <w:bottom w:val="single" w:sz="4" w:space="0" w:color="auto"/>
              <w:right w:val="single" w:sz="4" w:space="0" w:color="auto"/>
            </w:tcBorders>
            <w:vAlign w:val="center"/>
          </w:tcPr>
          <w:p w14:paraId="539BA781"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1575E0E6"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根据企业房地产开发资质等级，评价企业上一年的开发能力。</w:t>
            </w:r>
          </w:p>
        </w:tc>
        <w:tc>
          <w:tcPr>
            <w:tcW w:w="6055" w:type="dxa"/>
            <w:tcBorders>
              <w:top w:val="single" w:sz="4" w:space="0" w:color="auto"/>
              <w:left w:val="single" w:sz="4" w:space="0" w:color="auto"/>
              <w:bottom w:val="single" w:sz="4" w:space="0" w:color="auto"/>
              <w:right w:val="single" w:sz="8" w:space="0" w:color="auto"/>
            </w:tcBorders>
            <w:vAlign w:val="center"/>
          </w:tcPr>
          <w:p w14:paraId="664193A5"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企业上一年施工面积</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本级资质要求的最低施工面积，比值大于</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（含</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分；比值在</w:t>
            </w:r>
            <w:r>
              <w:rPr>
                <w:rFonts w:asciiTheme="minorHAnsi" w:eastAsiaTheme="minorEastAsia" w:hAnsiTheme="minorHAnsi" w:cstheme="minorBidi" w:hint="eastAsia"/>
                <w:sz w:val="18"/>
                <w:szCs w:val="18"/>
              </w:rPr>
              <w:t>0.5-1</w:t>
            </w:r>
            <w:r>
              <w:rPr>
                <w:rFonts w:asciiTheme="minorHAnsi" w:eastAsiaTheme="minorEastAsia" w:hAnsiTheme="minorHAnsi" w:cstheme="minorBidi" w:hint="eastAsia"/>
                <w:sz w:val="18"/>
                <w:szCs w:val="18"/>
              </w:rPr>
              <w:t>（含</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分；比值小于</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7CCA14B4"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当地施工期小于</w:t>
            </w:r>
            <w:r>
              <w:rPr>
                <w:rFonts w:asciiTheme="minorHAnsi" w:eastAsiaTheme="minorEastAsia" w:hAnsiTheme="minorHAnsi" w:cstheme="minorBidi" w:hint="eastAsia"/>
                <w:sz w:val="18"/>
                <w:szCs w:val="18"/>
              </w:rPr>
              <w:t>8</w:t>
            </w:r>
            <w:r>
              <w:rPr>
                <w:rFonts w:asciiTheme="minorHAnsi" w:eastAsiaTheme="minorEastAsia" w:hAnsiTheme="minorHAnsi" w:cstheme="minorBidi" w:hint="eastAsia"/>
                <w:sz w:val="18"/>
                <w:szCs w:val="18"/>
              </w:rPr>
              <w:t>个月的，在计算开发面积时乘以</w:t>
            </w:r>
            <w:r>
              <w:rPr>
                <w:rFonts w:asciiTheme="minorHAnsi" w:eastAsiaTheme="minorEastAsia" w:hAnsiTheme="minorHAnsi" w:cstheme="minorBidi" w:hint="eastAsia"/>
                <w:sz w:val="18"/>
                <w:szCs w:val="18"/>
              </w:rPr>
              <w:t>1.3</w:t>
            </w:r>
            <w:r>
              <w:rPr>
                <w:rFonts w:asciiTheme="minorHAnsi" w:eastAsiaTheme="minorEastAsia" w:hAnsiTheme="minorHAnsi" w:cstheme="minorBidi" w:hint="eastAsia"/>
                <w:sz w:val="18"/>
                <w:szCs w:val="18"/>
              </w:rPr>
              <w:t>。</w:t>
            </w:r>
          </w:p>
          <w:p w14:paraId="6F892F94"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其中，合作开发项目应按所持股份比例计算实际竣工量。</w:t>
            </w:r>
          </w:p>
        </w:tc>
      </w:tr>
      <w:tr w:rsidR="0035415A" w14:paraId="6959038B"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1A07C7BE" w14:textId="77777777" w:rsidR="0035415A" w:rsidRDefault="0035415A">
            <w:pPr>
              <w:jc w:val="center"/>
              <w:rPr>
                <w:rFonts w:asciiTheme="minorHAnsi" w:eastAsiaTheme="minorEastAsia" w:hAnsiTheme="minorHAnsi" w:cstheme="minorBidi"/>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37867999"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 xml:space="preserve">1.3 </w:t>
            </w:r>
            <w:r>
              <w:rPr>
                <w:rFonts w:asciiTheme="minorHAnsi" w:eastAsiaTheme="minorEastAsia" w:hAnsiTheme="minorHAnsi" w:cstheme="minorBidi" w:hint="eastAsia"/>
                <w:sz w:val="18"/>
                <w:szCs w:val="18"/>
              </w:rPr>
              <w:t>人员能力</w:t>
            </w:r>
          </w:p>
          <w:p w14:paraId="3CF3B78D"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6CD5754F"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1.3.1</w:t>
            </w:r>
          </w:p>
          <w:p w14:paraId="540256C7"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管理</w:t>
            </w:r>
            <w:proofErr w:type="gramStart"/>
            <w:r>
              <w:rPr>
                <w:rFonts w:asciiTheme="minorHAnsi" w:eastAsiaTheme="minorEastAsia" w:hAnsiTheme="minorHAnsi" w:cstheme="minorBidi" w:hint="eastAsia"/>
                <w:sz w:val="18"/>
                <w:szCs w:val="18"/>
              </w:rPr>
              <w:t>层能力</w:t>
            </w:r>
            <w:proofErr w:type="gramEnd"/>
          </w:p>
        </w:tc>
        <w:tc>
          <w:tcPr>
            <w:tcW w:w="854" w:type="dxa"/>
            <w:tcBorders>
              <w:top w:val="single" w:sz="4" w:space="0" w:color="auto"/>
              <w:left w:val="single" w:sz="4" w:space="0" w:color="auto"/>
              <w:bottom w:val="single" w:sz="4" w:space="0" w:color="auto"/>
              <w:right w:val="single" w:sz="4" w:space="0" w:color="auto"/>
            </w:tcBorders>
            <w:vAlign w:val="center"/>
          </w:tcPr>
          <w:p w14:paraId="78C7EC87"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28C9E7E3" w14:textId="77777777" w:rsidR="0035415A" w:rsidRDefault="00000000">
            <w:pPr>
              <w:jc w:val="left"/>
              <w:rPr>
                <w:rFonts w:asciiTheme="minorHAnsi" w:eastAsiaTheme="minorEastAsia" w:hAnsiTheme="minorHAnsi" w:cstheme="minorBidi"/>
                <w:sz w:val="18"/>
                <w:szCs w:val="18"/>
              </w:rPr>
            </w:pPr>
            <w:bookmarkStart w:id="121" w:name="_Hlk83559580"/>
            <w:r>
              <w:rPr>
                <w:rFonts w:asciiTheme="minorHAnsi" w:eastAsiaTheme="minorEastAsia" w:hAnsiTheme="minorHAnsi" w:cstheme="minorBidi" w:hint="eastAsia"/>
                <w:sz w:val="18"/>
                <w:szCs w:val="18"/>
              </w:rPr>
              <w:t>评价企业管理层</w:t>
            </w:r>
            <w:bookmarkEnd w:id="121"/>
            <w:r>
              <w:rPr>
                <w:rFonts w:asciiTheme="minorHAnsi" w:eastAsiaTheme="minorEastAsia" w:hAnsiTheme="minorHAnsi" w:cstheme="minorBidi" w:hint="eastAsia"/>
                <w:sz w:val="18"/>
                <w:szCs w:val="18"/>
              </w:rPr>
              <w:t>学历、专业能力、人员稳定情况、不良信用记录等。</w:t>
            </w:r>
          </w:p>
        </w:tc>
        <w:tc>
          <w:tcPr>
            <w:tcW w:w="6055" w:type="dxa"/>
            <w:tcBorders>
              <w:top w:val="single" w:sz="4" w:space="0" w:color="auto"/>
              <w:left w:val="single" w:sz="4" w:space="0" w:color="auto"/>
              <w:bottom w:val="single" w:sz="4" w:space="0" w:color="auto"/>
              <w:right w:val="single" w:sz="8" w:space="0" w:color="auto"/>
            </w:tcBorders>
            <w:vAlign w:val="center"/>
          </w:tcPr>
          <w:p w14:paraId="64D1B838"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管理</w:t>
            </w:r>
            <w:proofErr w:type="gramStart"/>
            <w:r>
              <w:rPr>
                <w:rFonts w:asciiTheme="minorHAnsi" w:eastAsiaTheme="minorEastAsia" w:hAnsiTheme="minorHAnsi" w:cstheme="minorBidi" w:hint="eastAsia"/>
                <w:sz w:val="18"/>
                <w:szCs w:val="18"/>
              </w:rPr>
              <w:t>层专业</w:t>
            </w:r>
            <w:proofErr w:type="gramEnd"/>
            <w:r>
              <w:rPr>
                <w:rFonts w:asciiTheme="minorHAnsi" w:eastAsiaTheme="minorEastAsia" w:hAnsiTheme="minorHAnsi" w:cstheme="minorBidi" w:hint="eastAsia"/>
                <w:sz w:val="18"/>
                <w:szCs w:val="18"/>
              </w:rPr>
              <w:t>能力高、人员稳定、无不良记录得</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分；</w:t>
            </w:r>
          </w:p>
          <w:p w14:paraId="5C95247E"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管理</w:t>
            </w:r>
            <w:proofErr w:type="gramStart"/>
            <w:r>
              <w:rPr>
                <w:rFonts w:asciiTheme="minorHAnsi" w:eastAsiaTheme="minorEastAsia" w:hAnsiTheme="minorHAnsi" w:cstheme="minorBidi" w:hint="eastAsia"/>
                <w:sz w:val="18"/>
                <w:szCs w:val="18"/>
              </w:rPr>
              <w:t>层专业</w:t>
            </w:r>
            <w:proofErr w:type="gramEnd"/>
            <w:r>
              <w:rPr>
                <w:rFonts w:asciiTheme="minorHAnsi" w:eastAsiaTheme="minorEastAsia" w:hAnsiTheme="minorHAnsi" w:cstheme="minorBidi" w:hint="eastAsia"/>
                <w:sz w:val="18"/>
                <w:szCs w:val="18"/>
              </w:rPr>
              <w:t>能力较强、人员较稳定、无不良记录得</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分；</w:t>
            </w:r>
          </w:p>
          <w:p w14:paraId="60A5E20B"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管理</w:t>
            </w:r>
            <w:proofErr w:type="gramStart"/>
            <w:r>
              <w:rPr>
                <w:rFonts w:asciiTheme="minorHAnsi" w:eastAsiaTheme="minorEastAsia" w:hAnsiTheme="minorHAnsi" w:cstheme="minorBidi" w:hint="eastAsia"/>
                <w:sz w:val="18"/>
                <w:szCs w:val="18"/>
              </w:rPr>
              <w:t>层专业</w:t>
            </w:r>
            <w:proofErr w:type="gramEnd"/>
            <w:r>
              <w:rPr>
                <w:rFonts w:asciiTheme="minorHAnsi" w:eastAsiaTheme="minorEastAsia" w:hAnsiTheme="minorHAnsi" w:cstheme="minorBidi" w:hint="eastAsia"/>
                <w:sz w:val="18"/>
                <w:szCs w:val="18"/>
              </w:rPr>
              <w:t>能力一般、人员稳定性一般，无不良记录得</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p w14:paraId="56DDABE4"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管理</w:t>
            </w:r>
            <w:proofErr w:type="gramStart"/>
            <w:r>
              <w:rPr>
                <w:rFonts w:asciiTheme="minorHAnsi" w:eastAsiaTheme="minorEastAsia" w:hAnsiTheme="minorHAnsi" w:cstheme="minorBidi" w:hint="eastAsia"/>
                <w:sz w:val="18"/>
                <w:szCs w:val="18"/>
              </w:rPr>
              <w:t>层能力</w:t>
            </w:r>
            <w:proofErr w:type="gramEnd"/>
            <w:r>
              <w:rPr>
                <w:rFonts w:asciiTheme="minorHAnsi" w:eastAsiaTheme="minorEastAsia" w:hAnsiTheme="minorHAnsi" w:cstheme="minorBidi" w:hint="eastAsia"/>
                <w:sz w:val="18"/>
                <w:szCs w:val="18"/>
              </w:rPr>
              <w:t>较差，人员稳定性较差，无不良记录得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11183940"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管理层有不良记录得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tc>
      </w:tr>
      <w:tr w:rsidR="0035415A" w14:paraId="41AFA7DF"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16E9EDA6" w14:textId="77777777" w:rsidR="0035415A" w:rsidRDefault="0035415A">
            <w:pPr>
              <w:jc w:val="center"/>
              <w:rPr>
                <w:rFonts w:asciiTheme="minorHAnsi" w:eastAsiaTheme="minorEastAsia" w:hAnsiTheme="minorHAnsi" w:cstheme="minorBidi"/>
                <w:sz w:val="18"/>
                <w:szCs w:val="18"/>
              </w:rPr>
            </w:pPr>
          </w:p>
        </w:tc>
        <w:tc>
          <w:tcPr>
            <w:tcW w:w="1376" w:type="dxa"/>
            <w:vMerge w:val="restart"/>
            <w:tcBorders>
              <w:top w:val="single" w:sz="4" w:space="0" w:color="auto"/>
              <w:left w:val="single" w:sz="4" w:space="0" w:color="auto"/>
              <w:bottom w:val="single" w:sz="4" w:space="0" w:color="auto"/>
              <w:right w:val="single" w:sz="4" w:space="0" w:color="auto"/>
            </w:tcBorders>
            <w:vAlign w:val="center"/>
          </w:tcPr>
          <w:p w14:paraId="274EC057"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1.4</w:t>
            </w:r>
            <w:r>
              <w:rPr>
                <w:rFonts w:asciiTheme="minorHAnsi" w:eastAsiaTheme="minorEastAsia" w:hAnsiTheme="minorHAnsi" w:cstheme="minorBidi" w:hint="eastAsia"/>
                <w:sz w:val="18"/>
                <w:szCs w:val="18"/>
              </w:rPr>
              <w:t xml:space="preserve"> </w:t>
            </w:r>
            <w:r>
              <w:rPr>
                <w:rFonts w:asciiTheme="minorHAnsi" w:eastAsiaTheme="minorEastAsia" w:hAnsiTheme="minorHAnsi" w:cstheme="minorBidi" w:hint="eastAsia"/>
                <w:sz w:val="18"/>
                <w:szCs w:val="18"/>
              </w:rPr>
              <w:t>公司管理与治理</w:t>
            </w:r>
          </w:p>
          <w:p w14:paraId="13358494"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7</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072BD35F"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1.4.1</w:t>
            </w:r>
            <w:r>
              <w:rPr>
                <w:rFonts w:asciiTheme="minorHAnsi" w:eastAsiaTheme="minorEastAsia" w:hAnsiTheme="minorHAnsi" w:cstheme="minorBidi" w:hint="eastAsia"/>
                <w:sz w:val="18"/>
                <w:szCs w:val="18"/>
              </w:rPr>
              <w:t xml:space="preserve"> </w:t>
            </w:r>
          </w:p>
          <w:p w14:paraId="3758A06E"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管理制度</w:t>
            </w:r>
          </w:p>
        </w:tc>
        <w:tc>
          <w:tcPr>
            <w:tcW w:w="854" w:type="dxa"/>
            <w:tcBorders>
              <w:top w:val="single" w:sz="4" w:space="0" w:color="auto"/>
              <w:left w:val="single" w:sz="4" w:space="0" w:color="auto"/>
              <w:bottom w:val="single" w:sz="4" w:space="0" w:color="auto"/>
              <w:right w:val="single" w:sz="4" w:space="0" w:color="auto"/>
            </w:tcBorders>
            <w:vAlign w:val="center"/>
          </w:tcPr>
          <w:p w14:paraId="5E0F6949"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104700BF"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评价企业在内部管理方面的职能是否明确、制度是否健全。</w:t>
            </w:r>
          </w:p>
        </w:tc>
        <w:tc>
          <w:tcPr>
            <w:tcW w:w="6055" w:type="dxa"/>
            <w:tcBorders>
              <w:top w:val="single" w:sz="4" w:space="0" w:color="auto"/>
              <w:left w:val="single" w:sz="4" w:space="0" w:color="auto"/>
              <w:bottom w:val="single" w:sz="4" w:space="0" w:color="auto"/>
              <w:right w:val="single" w:sz="8" w:space="0" w:color="auto"/>
            </w:tcBorders>
            <w:vAlign w:val="center"/>
          </w:tcPr>
          <w:p w14:paraId="0EF45018"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企业的管理制度文件，如缺少下列（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5</w:t>
            </w:r>
            <w:r>
              <w:rPr>
                <w:rFonts w:asciiTheme="minorHAnsi" w:eastAsiaTheme="minorEastAsia" w:hAnsiTheme="minorHAnsi" w:cstheme="minorBidi" w:hint="eastAsia"/>
                <w:sz w:val="18"/>
                <w:szCs w:val="18"/>
              </w:rPr>
              <w:t>）类文件，每项扣</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分；缺少下列（</w:t>
            </w:r>
            <w:r>
              <w:rPr>
                <w:rFonts w:asciiTheme="minorHAnsi" w:eastAsiaTheme="minorEastAsia" w:hAnsiTheme="minorHAnsi" w:cstheme="minorBidi" w:hint="eastAsia"/>
                <w:sz w:val="18"/>
                <w:szCs w:val="18"/>
              </w:rPr>
              <w:t>6</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12</w:t>
            </w:r>
            <w:r>
              <w:rPr>
                <w:rFonts w:asciiTheme="minorHAnsi" w:eastAsiaTheme="minorEastAsia" w:hAnsiTheme="minorHAnsi" w:cstheme="minorBidi" w:hint="eastAsia"/>
                <w:sz w:val="18"/>
                <w:szCs w:val="18"/>
              </w:rPr>
              <w:t>）类文件，每项扣</w:t>
            </w:r>
            <w:r>
              <w:rPr>
                <w:rFonts w:asciiTheme="minorHAnsi" w:eastAsiaTheme="minorEastAsia" w:hAnsiTheme="minorHAnsi" w:cstheme="minorBidi" w:hint="eastAsia"/>
                <w:sz w:val="18"/>
                <w:szCs w:val="18"/>
              </w:rPr>
              <w:t>0.3</w:t>
            </w:r>
            <w:r>
              <w:rPr>
                <w:rFonts w:asciiTheme="minorHAnsi" w:eastAsiaTheme="minorEastAsia" w:hAnsiTheme="minorHAnsi" w:cstheme="minorBidi" w:hint="eastAsia"/>
                <w:sz w:val="18"/>
                <w:szCs w:val="18"/>
              </w:rPr>
              <w:t>分，累计扣满</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分为止。</w:t>
            </w:r>
          </w:p>
          <w:p w14:paraId="4DB15EBE"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）组织架构制度：包括企业各部门的职责权限；</w:t>
            </w:r>
          </w:p>
          <w:p w14:paraId="288C7771"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）人事管理制度：包括企业员工的聘用、培训、辞退、辞职、薪酬、考核、晋升、奖惩等规范流程与制度；</w:t>
            </w:r>
          </w:p>
          <w:p w14:paraId="2FCEEA6A"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）行政管理制度：包括企业的办公制度与公司财产管理制度；</w:t>
            </w:r>
          </w:p>
          <w:p w14:paraId="3003BF79"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）财务管理制度：包括企业的财务预算与财务流程制度；</w:t>
            </w:r>
          </w:p>
          <w:p w14:paraId="1AD54C11"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5</w:t>
            </w:r>
            <w:r>
              <w:rPr>
                <w:rFonts w:asciiTheme="minorHAnsi" w:eastAsiaTheme="minorEastAsia" w:hAnsiTheme="minorHAnsi" w:cstheme="minorBidi" w:hint="eastAsia"/>
                <w:sz w:val="18"/>
                <w:szCs w:val="18"/>
              </w:rPr>
              <w:t>）党建管理制度：包括企业党支部的组织建设、思想建设、政治建设、作风建设、纪律建设等规范文件；</w:t>
            </w:r>
          </w:p>
          <w:p w14:paraId="03D3EA1E"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6</w:t>
            </w:r>
            <w:r>
              <w:rPr>
                <w:rFonts w:asciiTheme="minorHAnsi" w:eastAsiaTheme="minorEastAsia" w:hAnsiTheme="minorHAnsi" w:cstheme="minorBidi" w:hint="eastAsia"/>
                <w:sz w:val="18"/>
                <w:szCs w:val="18"/>
              </w:rPr>
              <w:t>）投资策划管理：包括企业年度经营计划与项目投资计划；</w:t>
            </w:r>
          </w:p>
          <w:p w14:paraId="73C92E61"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7</w:t>
            </w:r>
            <w:r>
              <w:rPr>
                <w:rFonts w:asciiTheme="minorHAnsi" w:eastAsiaTheme="minorEastAsia" w:hAnsiTheme="minorHAnsi" w:cstheme="minorBidi" w:hint="eastAsia"/>
                <w:sz w:val="18"/>
                <w:szCs w:val="18"/>
              </w:rPr>
              <w:t>）项目启动管理：包括企业项目前期开发、项目用地投标、工程项目招标等制度；</w:t>
            </w:r>
          </w:p>
          <w:p w14:paraId="080522E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8</w:t>
            </w:r>
            <w:r>
              <w:rPr>
                <w:rFonts w:asciiTheme="minorHAnsi" w:eastAsiaTheme="minorEastAsia" w:hAnsiTheme="minorHAnsi" w:cstheme="minorBidi" w:hint="eastAsia"/>
                <w:sz w:val="18"/>
                <w:szCs w:val="18"/>
              </w:rPr>
              <w:t>）规划设计管理：包括设计图纸自审、会审、变更等管理制度；</w:t>
            </w:r>
          </w:p>
          <w:p w14:paraId="48187525"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9</w:t>
            </w:r>
            <w:r>
              <w:rPr>
                <w:rFonts w:asciiTheme="minorHAnsi" w:eastAsiaTheme="minorEastAsia" w:hAnsiTheme="minorHAnsi" w:cstheme="minorBidi" w:hint="eastAsia"/>
                <w:sz w:val="18"/>
                <w:szCs w:val="18"/>
              </w:rPr>
              <w:t>）造价预算管理：包括项目合同管理与成本控制管理制度；</w:t>
            </w:r>
          </w:p>
          <w:p w14:paraId="6D52F0FE"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10</w:t>
            </w:r>
            <w:r>
              <w:rPr>
                <w:rFonts w:asciiTheme="minorHAnsi" w:eastAsiaTheme="minorEastAsia" w:hAnsiTheme="minorHAnsi" w:cstheme="minorBidi" w:hint="eastAsia"/>
                <w:sz w:val="18"/>
                <w:szCs w:val="18"/>
              </w:rPr>
              <w:t>）材料设备管理：包括企业材料设备的采购、招标、运输、领用、备案等管理制度；</w:t>
            </w:r>
          </w:p>
          <w:p w14:paraId="21F4375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11</w:t>
            </w:r>
            <w:r>
              <w:rPr>
                <w:rFonts w:asciiTheme="minorHAnsi" w:eastAsiaTheme="minorEastAsia" w:hAnsiTheme="minorHAnsi" w:cstheme="minorBidi" w:hint="eastAsia"/>
                <w:sz w:val="18"/>
                <w:szCs w:val="18"/>
              </w:rPr>
              <w:t>）项目施工管理：包括企业承包商管理、进度管理、质量管理、安全文明施工等管理制度；</w:t>
            </w:r>
          </w:p>
          <w:p w14:paraId="30FBA9D9"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12</w:t>
            </w:r>
            <w:r>
              <w:rPr>
                <w:rFonts w:asciiTheme="minorHAnsi" w:eastAsiaTheme="minorEastAsia" w:hAnsiTheme="minorHAnsi" w:cstheme="minorBidi" w:hint="eastAsia"/>
                <w:sz w:val="18"/>
                <w:szCs w:val="18"/>
              </w:rPr>
              <w:t>）营销销售管理：包括企业营销与活动策划、销售工作制度、售楼处日常管理、客户接待与投诉管理等制度。</w:t>
            </w:r>
          </w:p>
        </w:tc>
      </w:tr>
      <w:tr w:rsidR="0035415A" w14:paraId="77867F10" w14:textId="77777777">
        <w:trPr>
          <w:cantSplit/>
          <w:trHeight w:val="1195"/>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0AC7FF24"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3593B57C"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EA632BB"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1.4.2</w:t>
            </w:r>
          </w:p>
          <w:p w14:paraId="48F52439"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制度落实</w:t>
            </w:r>
          </w:p>
        </w:tc>
        <w:tc>
          <w:tcPr>
            <w:tcW w:w="854" w:type="dxa"/>
            <w:tcBorders>
              <w:top w:val="single" w:sz="4" w:space="0" w:color="auto"/>
              <w:left w:val="single" w:sz="4" w:space="0" w:color="auto"/>
              <w:bottom w:val="single" w:sz="4" w:space="0" w:color="auto"/>
              <w:right w:val="single" w:sz="4" w:space="0" w:color="auto"/>
            </w:tcBorders>
            <w:vAlign w:val="center"/>
          </w:tcPr>
          <w:p w14:paraId="7F7B74F2"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3E426ABD"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评价企业管理制度实施是否落实、过程是否留痕。</w:t>
            </w:r>
          </w:p>
        </w:tc>
        <w:tc>
          <w:tcPr>
            <w:tcW w:w="6055" w:type="dxa"/>
            <w:tcBorders>
              <w:top w:val="single" w:sz="4" w:space="0" w:color="auto"/>
              <w:left w:val="single" w:sz="4" w:space="0" w:color="auto"/>
              <w:bottom w:val="single" w:sz="4" w:space="0" w:color="auto"/>
              <w:right w:val="single" w:sz="8" w:space="0" w:color="auto"/>
            </w:tcBorders>
            <w:vAlign w:val="center"/>
          </w:tcPr>
          <w:p w14:paraId="1505B432"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企业的管理制度文件中，都存在相应过程文件与实施记录，得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16DEAC59"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如有管理制度文件，但缺少相应过程文件与实施记录的情况，每项扣</w:t>
            </w:r>
            <w:r>
              <w:rPr>
                <w:rFonts w:asciiTheme="minorHAnsi" w:eastAsiaTheme="minorEastAsia" w:hAnsiTheme="minorHAnsi" w:cstheme="minorBidi" w:hint="eastAsia"/>
                <w:sz w:val="18"/>
                <w:szCs w:val="18"/>
              </w:rPr>
              <w:t>0.2</w:t>
            </w:r>
            <w:r>
              <w:rPr>
                <w:rFonts w:asciiTheme="minorHAnsi" w:eastAsiaTheme="minorEastAsia" w:hAnsiTheme="minorHAnsi" w:cstheme="minorBidi" w:hint="eastAsia"/>
                <w:sz w:val="18"/>
                <w:szCs w:val="18"/>
              </w:rPr>
              <w:t>分，累计扣满</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r>
      <w:tr w:rsidR="0035415A" w14:paraId="4FE36683" w14:textId="77777777">
        <w:trPr>
          <w:cantSplit/>
          <w:trHeight w:val="696"/>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7DC57382" w14:textId="77777777" w:rsidR="0035415A" w:rsidRDefault="0035415A">
            <w:pPr>
              <w:jc w:val="center"/>
              <w:rPr>
                <w:rFonts w:asciiTheme="minorHAnsi" w:eastAsiaTheme="minorEastAsia" w:hAnsiTheme="minorHAnsi" w:cstheme="minorBidi"/>
                <w:sz w:val="18"/>
                <w:szCs w:val="18"/>
              </w:rPr>
            </w:pPr>
          </w:p>
        </w:tc>
        <w:tc>
          <w:tcPr>
            <w:tcW w:w="1376" w:type="dxa"/>
            <w:vMerge/>
            <w:tcBorders>
              <w:left w:val="single" w:sz="4" w:space="0" w:color="auto"/>
              <w:bottom w:val="single" w:sz="4" w:space="0" w:color="auto"/>
              <w:right w:val="single" w:sz="4" w:space="0" w:color="auto"/>
            </w:tcBorders>
            <w:vAlign w:val="center"/>
          </w:tcPr>
          <w:p w14:paraId="1AED353E"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9205E79"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1.4.3</w:t>
            </w:r>
          </w:p>
          <w:p w14:paraId="09D4FE5C"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企业风险管控</w:t>
            </w:r>
          </w:p>
        </w:tc>
        <w:tc>
          <w:tcPr>
            <w:tcW w:w="854" w:type="dxa"/>
            <w:tcBorders>
              <w:top w:val="single" w:sz="4" w:space="0" w:color="auto"/>
              <w:left w:val="single" w:sz="4" w:space="0" w:color="auto"/>
              <w:bottom w:val="single" w:sz="4" w:space="0" w:color="auto"/>
              <w:right w:val="single" w:sz="4" w:space="0" w:color="auto"/>
            </w:tcBorders>
            <w:vAlign w:val="center"/>
          </w:tcPr>
          <w:p w14:paraId="4B2EBDF4"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5B3A0BC3"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评价企业是否建立有效的风险管控体系。</w:t>
            </w:r>
          </w:p>
        </w:tc>
        <w:tc>
          <w:tcPr>
            <w:tcW w:w="6055" w:type="dxa"/>
            <w:tcBorders>
              <w:top w:val="single" w:sz="4" w:space="0" w:color="auto"/>
              <w:left w:val="single" w:sz="4" w:space="0" w:color="auto"/>
              <w:bottom w:val="single" w:sz="4" w:space="0" w:color="auto"/>
              <w:right w:val="single" w:sz="8" w:space="0" w:color="auto"/>
            </w:tcBorders>
            <w:vAlign w:val="center"/>
          </w:tcPr>
          <w:p w14:paraId="5CE214AD"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满足以下</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项及以上得</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分，满足</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分，不满足得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68400CB5" w14:textId="77777777" w:rsidR="0035415A" w:rsidRDefault="00000000">
            <w:pPr>
              <w:numPr>
                <w:ilvl w:val="0"/>
                <w:numId w:val="27"/>
              </w:num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企业有风险</w:t>
            </w:r>
            <w:proofErr w:type="gramStart"/>
            <w:r>
              <w:rPr>
                <w:rFonts w:asciiTheme="minorHAnsi" w:eastAsiaTheme="minorEastAsia" w:hAnsiTheme="minorHAnsi" w:cstheme="minorBidi" w:hint="eastAsia"/>
                <w:sz w:val="18"/>
                <w:szCs w:val="18"/>
              </w:rPr>
              <w:t>管控自检</w:t>
            </w:r>
            <w:proofErr w:type="gramEnd"/>
            <w:r>
              <w:rPr>
                <w:rFonts w:asciiTheme="minorHAnsi" w:eastAsiaTheme="minorEastAsia" w:hAnsiTheme="minorHAnsi" w:cstheme="minorBidi" w:hint="eastAsia"/>
                <w:sz w:val="18"/>
                <w:szCs w:val="18"/>
              </w:rPr>
              <w:t>、自查、措施防范预案或制度；</w:t>
            </w:r>
          </w:p>
          <w:p w14:paraId="7C34701D" w14:textId="77777777" w:rsidR="0035415A" w:rsidRDefault="00000000">
            <w:pPr>
              <w:numPr>
                <w:ilvl w:val="0"/>
                <w:numId w:val="27"/>
              </w:num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企业设有信用管理人员或岗位职责；</w:t>
            </w:r>
          </w:p>
          <w:p w14:paraId="02BE0C1D" w14:textId="77777777" w:rsidR="0035415A" w:rsidRDefault="00000000">
            <w:pPr>
              <w:numPr>
                <w:ilvl w:val="255"/>
                <w:numId w:val="0"/>
              </w:num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）企业对合作关联方有信用情况调查或跟踪。</w:t>
            </w:r>
          </w:p>
        </w:tc>
      </w:tr>
      <w:tr w:rsidR="0035415A" w14:paraId="445CAF53"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61E08F59" w14:textId="77777777" w:rsidR="0035415A" w:rsidRDefault="0035415A">
            <w:pPr>
              <w:jc w:val="center"/>
              <w:rPr>
                <w:rFonts w:asciiTheme="minorHAnsi" w:eastAsiaTheme="minorEastAsia" w:hAnsiTheme="minorHAnsi" w:cstheme="minorBidi"/>
                <w:sz w:val="18"/>
                <w:szCs w:val="18"/>
              </w:rPr>
            </w:pPr>
          </w:p>
        </w:tc>
        <w:tc>
          <w:tcPr>
            <w:tcW w:w="1376" w:type="dxa"/>
            <w:vMerge w:val="restart"/>
            <w:tcBorders>
              <w:top w:val="single" w:sz="4" w:space="0" w:color="auto"/>
              <w:left w:val="single" w:sz="4" w:space="0" w:color="auto"/>
              <w:bottom w:val="single" w:sz="4" w:space="0" w:color="auto"/>
              <w:right w:val="single" w:sz="4" w:space="0" w:color="auto"/>
            </w:tcBorders>
            <w:vAlign w:val="center"/>
          </w:tcPr>
          <w:p w14:paraId="7EE83F6A"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1.5</w:t>
            </w:r>
          </w:p>
          <w:p w14:paraId="2ED5CFE7"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财务信用</w:t>
            </w:r>
          </w:p>
          <w:p w14:paraId="5B959746"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能力</w:t>
            </w:r>
          </w:p>
          <w:p w14:paraId="14D947C7"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sz w:val="18"/>
                <w:szCs w:val="18"/>
              </w:rPr>
              <w:t>1</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6EA34D9F"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1.5.1</w:t>
            </w:r>
          </w:p>
          <w:p w14:paraId="09E5ACAC"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偿债能力</w:t>
            </w:r>
          </w:p>
        </w:tc>
        <w:tc>
          <w:tcPr>
            <w:tcW w:w="854" w:type="dxa"/>
            <w:tcBorders>
              <w:top w:val="single" w:sz="4" w:space="0" w:color="auto"/>
              <w:left w:val="single" w:sz="4" w:space="0" w:color="auto"/>
              <w:bottom w:val="single" w:sz="4" w:space="0" w:color="auto"/>
              <w:right w:val="single" w:sz="4" w:space="0" w:color="auto"/>
            </w:tcBorders>
            <w:vAlign w:val="center"/>
          </w:tcPr>
          <w:p w14:paraId="4B1E0924"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5A518EEE"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通过评价偿债能力，反映企业持续经营的能力和风险。长期偿债能力考察剔除预收款后的资产负债率与净负债率；短期偿债能力考察现金短债比；降负债意愿考察带息负债年增长率是否处在合理区间。</w:t>
            </w:r>
          </w:p>
        </w:tc>
        <w:tc>
          <w:tcPr>
            <w:tcW w:w="6055" w:type="dxa"/>
            <w:tcBorders>
              <w:top w:val="single" w:sz="4" w:space="0" w:color="auto"/>
              <w:left w:val="single" w:sz="4" w:space="0" w:color="auto"/>
              <w:bottom w:val="single" w:sz="4" w:space="0" w:color="auto"/>
              <w:right w:val="single" w:sz="8" w:space="0" w:color="auto"/>
            </w:tcBorders>
            <w:vAlign w:val="center"/>
          </w:tcPr>
          <w:p w14:paraId="05E52D09"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剔除预收款后的资产负债率小于</w:t>
            </w:r>
            <w:r>
              <w:rPr>
                <w:rFonts w:asciiTheme="minorHAnsi" w:eastAsiaTheme="minorEastAsia" w:hAnsiTheme="minorHAnsi" w:cstheme="minorBidi" w:hint="eastAsia"/>
                <w:sz w:val="18"/>
                <w:szCs w:val="18"/>
              </w:rPr>
              <w:t>70%</w:t>
            </w:r>
            <w:r>
              <w:rPr>
                <w:rFonts w:asciiTheme="minorHAnsi" w:eastAsiaTheme="minorEastAsia" w:hAnsiTheme="minorHAnsi" w:cstheme="minorBidi" w:hint="eastAsia"/>
                <w:sz w:val="18"/>
                <w:szCs w:val="18"/>
              </w:rPr>
              <w:t>（含</w:t>
            </w:r>
            <w:r>
              <w:rPr>
                <w:rFonts w:asciiTheme="minorHAnsi" w:eastAsiaTheme="minorEastAsia" w:hAnsiTheme="minorHAnsi" w:cstheme="minorBidi" w:hint="eastAsia"/>
                <w:sz w:val="18"/>
                <w:szCs w:val="18"/>
              </w:rPr>
              <w:t>70%</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r>
              <w:rPr>
                <w:rFonts w:asciiTheme="minorHAnsi" w:eastAsiaTheme="minorEastAsia" w:hAnsiTheme="minorHAnsi" w:cstheme="minorBidi" w:hint="eastAsia"/>
                <w:sz w:val="18"/>
                <w:szCs w:val="18"/>
              </w:rPr>
              <w:t>70%-80%</w:t>
            </w:r>
            <w:r>
              <w:rPr>
                <w:rFonts w:asciiTheme="minorHAnsi" w:eastAsiaTheme="minorEastAsia" w:hAnsiTheme="minorHAnsi" w:cstheme="minorBidi" w:hint="eastAsia"/>
                <w:sz w:val="18"/>
                <w:szCs w:val="18"/>
              </w:rPr>
              <w:t>之间（含</w:t>
            </w:r>
            <w:r>
              <w:rPr>
                <w:rFonts w:asciiTheme="minorHAnsi" w:eastAsiaTheme="minorEastAsia" w:hAnsiTheme="minorHAnsi" w:cstheme="minorBidi" w:hint="eastAsia"/>
                <w:sz w:val="18"/>
                <w:szCs w:val="18"/>
              </w:rPr>
              <w:t>80%</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分，大于</w:t>
            </w:r>
            <w:r>
              <w:rPr>
                <w:rFonts w:asciiTheme="minorHAnsi" w:eastAsiaTheme="minorEastAsia" w:hAnsiTheme="minorHAnsi" w:cstheme="minorBidi" w:hint="eastAsia"/>
                <w:sz w:val="18"/>
                <w:szCs w:val="18"/>
              </w:rPr>
              <w:t>80%</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43FD6D50"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净负债率小于</w:t>
            </w:r>
            <w:r>
              <w:rPr>
                <w:rFonts w:asciiTheme="minorHAnsi" w:eastAsiaTheme="minorEastAsia" w:hAnsiTheme="minorHAnsi" w:cstheme="minorBidi" w:hint="eastAsia"/>
                <w:sz w:val="18"/>
                <w:szCs w:val="18"/>
              </w:rPr>
              <w:t>100%</w:t>
            </w:r>
            <w:r>
              <w:rPr>
                <w:rFonts w:asciiTheme="minorHAnsi" w:eastAsiaTheme="minorEastAsia" w:hAnsiTheme="minorHAnsi" w:cstheme="minorBidi" w:hint="eastAsia"/>
                <w:sz w:val="18"/>
                <w:szCs w:val="18"/>
              </w:rPr>
              <w:t>（含</w:t>
            </w:r>
            <w:r>
              <w:rPr>
                <w:rFonts w:asciiTheme="minorHAnsi" w:eastAsiaTheme="minorEastAsia" w:hAnsiTheme="minorHAnsi" w:cstheme="minorBidi" w:hint="eastAsia"/>
                <w:sz w:val="18"/>
                <w:szCs w:val="18"/>
              </w:rPr>
              <w:t>100%</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r>
              <w:rPr>
                <w:rFonts w:asciiTheme="minorHAnsi" w:eastAsiaTheme="minorEastAsia" w:hAnsiTheme="minorHAnsi" w:cstheme="minorBidi" w:hint="eastAsia"/>
                <w:sz w:val="18"/>
                <w:szCs w:val="18"/>
              </w:rPr>
              <w:t>100%-130%</w:t>
            </w:r>
            <w:r>
              <w:rPr>
                <w:rFonts w:asciiTheme="minorHAnsi" w:eastAsiaTheme="minorEastAsia" w:hAnsiTheme="minorHAnsi" w:cstheme="minorBidi" w:hint="eastAsia"/>
                <w:sz w:val="18"/>
                <w:szCs w:val="18"/>
              </w:rPr>
              <w:t>之间（含</w:t>
            </w:r>
            <w:r>
              <w:rPr>
                <w:rFonts w:asciiTheme="minorHAnsi" w:eastAsiaTheme="minorEastAsia" w:hAnsiTheme="minorHAnsi" w:cstheme="minorBidi" w:hint="eastAsia"/>
                <w:sz w:val="18"/>
                <w:szCs w:val="18"/>
              </w:rPr>
              <w:t>130%</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分，大于</w:t>
            </w:r>
            <w:r>
              <w:rPr>
                <w:rFonts w:asciiTheme="minorHAnsi" w:eastAsiaTheme="minorEastAsia" w:hAnsiTheme="minorHAnsi" w:cstheme="minorBidi" w:hint="eastAsia"/>
                <w:sz w:val="18"/>
                <w:szCs w:val="18"/>
              </w:rPr>
              <w:t>130%</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6C5774FF"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现金</w:t>
            </w:r>
            <w:proofErr w:type="gramStart"/>
            <w:r>
              <w:rPr>
                <w:rFonts w:asciiTheme="minorHAnsi" w:eastAsiaTheme="minorEastAsia" w:hAnsiTheme="minorHAnsi" w:cstheme="minorBidi" w:hint="eastAsia"/>
                <w:sz w:val="18"/>
                <w:szCs w:val="18"/>
              </w:rPr>
              <w:t>短债比大于</w:t>
            </w:r>
            <w:proofErr w:type="gramEnd"/>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（含</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r>
              <w:rPr>
                <w:rFonts w:asciiTheme="minorHAnsi" w:eastAsiaTheme="minorEastAsia" w:hAnsiTheme="minorHAnsi" w:cstheme="minorBidi" w:hint="eastAsia"/>
                <w:sz w:val="18"/>
                <w:szCs w:val="18"/>
              </w:rPr>
              <w:t>0.5-1</w:t>
            </w:r>
            <w:r>
              <w:rPr>
                <w:rFonts w:asciiTheme="minorHAnsi" w:eastAsiaTheme="minorEastAsia" w:hAnsiTheme="minorHAnsi" w:cstheme="minorBidi" w:hint="eastAsia"/>
                <w:sz w:val="18"/>
                <w:szCs w:val="18"/>
              </w:rPr>
              <w:t>之间（含</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分，小于</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723039CB"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带息负债年</w:t>
            </w:r>
            <w:proofErr w:type="gramStart"/>
            <w:r>
              <w:rPr>
                <w:rFonts w:asciiTheme="minorHAnsi" w:eastAsiaTheme="minorEastAsia" w:hAnsiTheme="minorHAnsi" w:cstheme="minorBidi" w:hint="eastAsia"/>
                <w:sz w:val="18"/>
                <w:szCs w:val="18"/>
              </w:rPr>
              <w:t>增长率赋分标准</w:t>
            </w:r>
            <w:proofErr w:type="gramEnd"/>
            <w:r>
              <w:rPr>
                <w:rFonts w:asciiTheme="minorHAnsi" w:eastAsiaTheme="minorEastAsia" w:hAnsiTheme="minorHAnsi" w:cstheme="minorBidi" w:hint="eastAsia"/>
                <w:sz w:val="18"/>
                <w:szCs w:val="18"/>
              </w:rPr>
              <w:t>：</w:t>
            </w:r>
          </w:p>
          <w:p w14:paraId="3F2614F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）满足“资产负债率低于</w:t>
            </w:r>
            <w:r>
              <w:rPr>
                <w:rFonts w:asciiTheme="minorHAnsi" w:eastAsiaTheme="minorEastAsia" w:hAnsiTheme="minorHAnsi" w:cstheme="minorBidi" w:hint="eastAsia"/>
                <w:sz w:val="18"/>
                <w:szCs w:val="18"/>
              </w:rPr>
              <w:t>70%</w:t>
            </w:r>
            <w:r>
              <w:rPr>
                <w:rFonts w:asciiTheme="minorHAnsi" w:eastAsiaTheme="minorEastAsia" w:hAnsiTheme="minorHAnsi" w:cstheme="minorBidi" w:hint="eastAsia"/>
                <w:sz w:val="18"/>
                <w:szCs w:val="18"/>
              </w:rPr>
              <w:t>，净负债率低于</w:t>
            </w:r>
            <w:r>
              <w:rPr>
                <w:rFonts w:asciiTheme="minorHAnsi" w:eastAsiaTheme="minorEastAsia" w:hAnsiTheme="minorHAnsi" w:cstheme="minorBidi" w:hint="eastAsia"/>
                <w:sz w:val="18"/>
                <w:szCs w:val="18"/>
              </w:rPr>
              <w:t>100%</w:t>
            </w:r>
            <w:r>
              <w:rPr>
                <w:rFonts w:asciiTheme="minorHAnsi" w:eastAsiaTheme="minorEastAsia" w:hAnsiTheme="minorHAnsi" w:cstheme="minorBidi" w:hint="eastAsia"/>
                <w:sz w:val="18"/>
                <w:szCs w:val="18"/>
              </w:rPr>
              <w:t>，现金短债比大于</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”，增速不超过</w:t>
            </w:r>
            <w:r>
              <w:rPr>
                <w:rFonts w:asciiTheme="minorHAnsi" w:eastAsiaTheme="minorEastAsia" w:hAnsiTheme="minorHAnsi" w:cstheme="minorBidi" w:hint="eastAsia"/>
                <w:sz w:val="18"/>
                <w:szCs w:val="18"/>
              </w:rPr>
              <w:t>15%</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32FEF0B8"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）满足“资产负债率低于</w:t>
            </w:r>
            <w:r>
              <w:rPr>
                <w:rFonts w:asciiTheme="minorHAnsi" w:eastAsiaTheme="minorEastAsia" w:hAnsiTheme="minorHAnsi" w:cstheme="minorBidi" w:hint="eastAsia"/>
                <w:sz w:val="18"/>
                <w:szCs w:val="18"/>
              </w:rPr>
              <w:t>70%</w:t>
            </w:r>
            <w:r>
              <w:rPr>
                <w:rFonts w:asciiTheme="minorHAnsi" w:eastAsiaTheme="minorEastAsia" w:hAnsiTheme="minorHAnsi" w:cstheme="minorBidi" w:hint="eastAsia"/>
                <w:sz w:val="18"/>
                <w:szCs w:val="18"/>
              </w:rPr>
              <w:t>，净负债率低于</w:t>
            </w:r>
            <w:r>
              <w:rPr>
                <w:rFonts w:asciiTheme="minorHAnsi" w:eastAsiaTheme="minorEastAsia" w:hAnsiTheme="minorHAnsi" w:cstheme="minorBidi" w:hint="eastAsia"/>
                <w:sz w:val="18"/>
                <w:szCs w:val="18"/>
              </w:rPr>
              <w:t>100%</w:t>
            </w:r>
            <w:r>
              <w:rPr>
                <w:rFonts w:asciiTheme="minorHAnsi" w:eastAsiaTheme="minorEastAsia" w:hAnsiTheme="minorHAnsi" w:cstheme="minorBidi" w:hint="eastAsia"/>
                <w:sz w:val="18"/>
                <w:szCs w:val="18"/>
              </w:rPr>
              <w:t>，现金短债比大于</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”中的两条，增速不超过</w:t>
            </w:r>
            <w:r>
              <w:rPr>
                <w:rFonts w:asciiTheme="minorHAnsi" w:eastAsiaTheme="minorEastAsia" w:hAnsiTheme="minorHAnsi" w:cstheme="minorBidi" w:hint="eastAsia"/>
                <w:sz w:val="18"/>
                <w:szCs w:val="18"/>
              </w:rPr>
              <w:t>10%</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7965840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）满足“资产负债率低于</w:t>
            </w:r>
            <w:r>
              <w:rPr>
                <w:rFonts w:asciiTheme="minorHAnsi" w:eastAsiaTheme="minorEastAsia" w:hAnsiTheme="minorHAnsi" w:cstheme="minorBidi" w:hint="eastAsia"/>
                <w:sz w:val="18"/>
                <w:szCs w:val="18"/>
              </w:rPr>
              <w:t>70%</w:t>
            </w:r>
            <w:r>
              <w:rPr>
                <w:rFonts w:asciiTheme="minorHAnsi" w:eastAsiaTheme="minorEastAsia" w:hAnsiTheme="minorHAnsi" w:cstheme="minorBidi" w:hint="eastAsia"/>
                <w:sz w:val="18"/>
                <w:szCs w:val="18"/>
              </w:rPr>
              <w:t>，净负债率低于</w:t>
            </w:r>
            <w:r>
              <w:rPr>
                <w:rFonts w:asciiTheme="minorHAnsi" w:eastAsiaTheme="minorEastAsia" w:hAnsiTheme="minorHAnsi" w:cstheme="minorBidi" w:hint="eastAsia"/>
                <w:sz w:val="18"/>
                <w:szCs w:val="18"/>
              </w:rPr>
              <w:t>100%</w:t>
            </w:r>
            <w:r>
              <w:rPr>
                <w:rFonts w:asciiTheme="minorHAnsi" w:eastAsiaTheme="minorEastAsia" w:hAnsiTheme="minorHAnsi" w:cstheme="minorBidi" w:hint="eastAsia"/>
                <w:sz w:val="18"/>
                <w:szCs w:val="18"/>
              </w:rPr>
              <w:t>，现金短债比大于</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”中的一条，增速不超过</w:t>
            </w:r>
            <w:r>
              <w:rPr>
                <w:rFonts w:asciiTheme="minorHAnsi" w:eastAsiaTheme="minorEastAsia" w:hAnsiTheme="minorHAnsi" w:cstheme="minorBidi" w:hint="eastAsia"/>
                <w:sz w:val="18"/>
                <w:szCs w:val="18"/>
              </w:rPr>
              <w:t>5%</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468701CB"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其中，剔除预收款后的资产负债率</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（负债总额</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预收账款）</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（资产总额</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预收账款）</w:t>
            </w:r>
            <w:r>
              <w:rPr>
                <w:rFonts w:asciiTheme="minorHAnsi" w:eastAsiaTheme="minorEastAsia" w:hAnsiTheme="minorHAnsi" w:cstheme="minorBidi" w:hint="eastAsia"/>
                <w:sz w:val="18"/>
                <w:szCs w:val="18"/>
              </w:rPr>
              <w:t>*100%</w:t>
            </w:r>
            <w:r>
              <w:rPr>
                <w:rFonts w:asciiTheme="minorHAnsi" w:eastAsiaTheme="minorEastAsia" w:hAnsiTheme="minorHAnsi" w:cstheme="minorBidi" w:hint="eastAsia"/>
                <w:sz w:val="18"/>
                <w:szCs w:val="18"/>
              </w:rPr>
              <w:t>；净负债率</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（年末带息负债</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货币资金）</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年末归属于母公司所有者权益合计</w:t>
            </w:r>
            <w:r>
              <w:rPr>
                <w:rFonts w:asciiTheme="minorHAnsi" w:eastAsiaTheme="minorEastAsia" w:hAnsiTheme="minorHAnsi" w:cstheme="minorBidi" w:hint="eastAsia"/>
                <w:sz w:val="18"/>
                <w:szCs w:val="18"/>
              </w:rPr>
              <w:t>*100%</w:t>
            </w:r>
            <w:r>
              <w:rPr>
                <w:rFonts w:asciiTheme="minorHAnsi" w:eastAsiaTheme="minorEastAsia" w:hAnsiTheme="minorHAnsi" w:cstheme="minorBidi" w:hint="eastAsia"/>
                <w:sz w:val="18"/>
                <w:szCs w:val="18"/>
              </w:rPr>
              <w:t>；现金</w:t>
            </w:r>
            <w:proofErr w:type="gramStart"/>
            <w:r>
              <w:rPr>
                <w:rFonts w:asciiTheme="minorHAnsi" w:eastAsiaTheme="minorEastAsia" w:hAnsiTheme="minorHAnsi" w:cstheme="minorBidi" w:hint="eastAsia"/>
                <w:sz w:val="18"/>
                <w:szCs w:val="18"/>
              </w:rPr>
              <w:t>短债比</w:t>
            </w:r>
            <w:proofErr w:type="gramEnd"/>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非受限货币资金</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年末短期带息负债。</w:t>
            </w:r>
          </w:p>
        </w:tc>
      </w:tr>
      <w:tr w:rsidR="0035415A" w14:paraId="32CA90BD"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32BED02E"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D45440F"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550DB00"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1.5.2</w:t>
            </w:r>
          </w:p>
          <w:p w14:paraId="49EE69E3"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运营能力</w:t>
            </w:r>
          </w:p>
        </w:tc>
        <w:tc>
          <w:tcPr>
            <w:tcW w:w="854" w:type="dxa"/>
            <w:tcBorders>
              <w:top w:val="single" w:sz="4" w:space="0" w:color="auto"/>
              <w:left w:val="single" w:sz="4" w:space="0" w:color="auto"/>
              <w:bottom w:val="single" w:sz="4" w:space="0" w:color="auto"/>
              <w:right w:val="single" w:sz="4" w:space="0" w:color="auto"/>
            </w:tcBorders>
            <w:vAlign w:val="center"/>
          </w:tcPr>
          <w:p w14:paraId="5A610FF7"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58AE6327"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通过评价运营能力，反映企业持续经营、良性发展的能力。主要考察总资产周转率和存货周转率。</w:t>
            </w:r>
          </w:p>
        </w:tc>
        <w:tc>
          <w:tcPr>
            <w:tcW w:w="6055" w:type="dxa"/>
            <w:tcBorders>
              <w:top w:val="single" w:sz="4" w:space="0" w:color="auto"/>
              <w:left w:val="single" w:sz="4" w:space="0" w:color="auto"/>
              <w:bottom w:val="single" w:sz="4" w:space="0" w:color="auto"/>
              <w:right w:val="single" w:sz="8" w:space="0" w:color="auto"/>
            </w:tcBorders>
            <w:vAlign w:val="center"/>
          </w:tcPr>
          <w:p w14:paraId="351EA2A4"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根据国资委发布的房地产全行业财务水平，总资产周转率和存货周转率优秀得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分；良好得</w:t>
            </w:r>
            <w:r>
              <w:rPr>
                <w:rFonts w:asciiTheme="minorHAnsi" w:eastAsiaTheme="minorEastAsia" w:hAnsiTheme="minorHAnsi" w:cstheme="minorBidi" w:hint="eastAsia"/>
                <w:sz w:val="18"/>
                <w:szCs w:val="18"/>
              </w:rPr>
              <w:t>0.8</w:t>
            </w:r>
            <w:r>
              <w:rPr>
                <w:rFonts w:asciiTheme="minorHAnsi" w:eastAsiaTheme="minorEastAsia" w:hAnsiTheme="minorHAnsi" w:cstheme="minorBidi" w:hint="eastAsia"/>
                <w:sz w:val="18"/>
                <w:szCs w:val="18"/>
              </w:rPr>
              <w:t>分；平均水平得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w:t>
            </w:r>
          </w:p>
          <w:p w14:paraId="73522E63"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其中，存货周转率</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主营业务成本</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存货平均余额；总资产周转率</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主营业务收入</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平均资产总额。</w:t>
            </w:r>
          </w:p>
        </w:tc>
      </w:tr>
      <w:tr w:rsidR="0035415A" w14:paraId="4B1D4994"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201F7768"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23494F7"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643ACCF"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1.5.3</w:t>
            </w:r>
          </w:p>
          <w:p w14:paraId="4D495C63"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发展能力</w:t>
            </w:r>
          </w:p>
        </w:tc>
        <w:tc>
          <w:tcPr>
            <w:tcW w:w="854" w:type="dxa"/>
            <w:tcBorders>
              <w:top w:val="single" w:sz="4" w:space="0" w:color="auto"/>
              <w:left w:val="single" w:sz="4" w:space="0" w:color="auto"/>
              <w:bottom w:val="single" w:sz="4" w:space="0" w:color="auto"/>
              <w:right w:val="single" w:sz="4" w:space="0" w:color="auto"/>
            </w:tcBorders>
            <w:vAlign w:val="center"/>
          </w:tcPr>
          <w:p w14:paraId="126A1DFB"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0C0CDBC3"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通过评价发展能力，考察企业主营业务收入平均增长率和资本平均增长率。</w:t>
            </w:r>
          </w:p>
        </w:tc>
        <w:tc>
          <w:tcPr>
            <w:tcW w:w="6055" w:type="dxa"/>
            <w:tcBorders>
              <w:top w:val="single" w:sz="4" w:space="0" w:color="auto"/>
              <w:left w:val="single" w:sz="4" w:space="0" w:color="auto"/>
              <w:bottom w:val="single" w:sz="4" w:space="0" w:color="auto"/>
              <w:right w:val="single" w:sz="8" w:space="0" w:color="auto"/>
            </w:tcBorders>
            <w:vAlign w:val="center"/>
          </w:tcPr>
          <w:p w14:paraId="64577671"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根据国资委发布的房地产全行业财务水平，近三年主营业务收入平均增长率和近三年资本平均增长率优秀得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分；良好得</w:t>
            </w:r>
            <w:r>
              <w:rPr>
                <w:rFonts w:asciiTheme="minorHAnsi" w:eastAsiaTheme="minorEastAsia" w:hAnsiTheme="minorHAnsi" w:cstheme="minorBidi" w:hint="eastAsia"/>
                <w:sz w:val="18"/>
                <w:szCs w:val="18"/>
              </w:rPr>
              <w:t>0.8</w:t>
            </w:r>
            <w:r>
              <w:rPr>
                <w:rFonts w:asciiTheme="minorHAnsi" w:eastAsiaTheme="minorEastAsia" w:hAnsiTheme="minorHAnsi" w:cstheme="minorBidi" w:hint="eastAsia"/>
                <w:sz w:val="18"/>
                <w:szCs w:val="18"/>
              </w:rPr>
              <w:t>分；平均水平得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w:t>
            </w:r>
          </w:p>
          <w:p w14:paraId="0A67CC82"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其中，近三年平均增长率采用几何增长率计算。</w:t>
            </w:r>
          </w:p>
        </w:tc>
      </w:tr>
      <w:tr w:rsidR="0035415A" w14:paraId="6F3DA275"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3D9C8F01"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3A26E3D8"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0FF9E14"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1.5.4</w:t>
            </w:r>
          </w:p>
          <w:p w14:paraId="6960191D"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盈利能力</w:t>
            </w:r>
          </w:p>
        </w:tc>
        <w:tc>
          <w:tcPr>
            <w:tcW w:w="854" w:type="dxa"/>
            <w:tcBorders>
              <w:top w:val="single" w:sz="4" w:space="0" w:color="auto"/>
              <w:left w:val="single" w:sz="4" w:space="0" w:color="auto"/>
              <w:bottom w:val="single" w:sz="4" w:space="0" w:color="auto"/>
              <w:right w:val="single" w:sz="4" w:space="0" w:color="auto"/>
            </w:tcBorders>
            <w:vAlign w:val="center"/>
          </w:tcPr>
          <w:p w14:paraId="26B0620D"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57AE5CF8"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通过评价盈利能力，考察企业平均净资产收益率和当年销售净利率。</w:t>
            </w:r>
          </w:p>
        </w:tc>
        <w:tc>
          <w:tcPr>
            <w:tcW w:w="6055" w:type="dxa"/>
            <w:tcBorders>
              <w:top w:val="single" w:sz="4" w:space="0" w:color="auto"/>
              <w:left w:val="single" w:sz="4" w:space="0" w:color="auto"/>
              <w:bottom w:val="single" w:sz="4" w:space="0" w:color="auto"/>
              <w:right w:val="single" w:sz="8" w:space="0" w:color="auto"/>
            </w:tcBorders>
            <w:vAlign w:val="center"/>
          </w:tcPr>
          <w:p w14:paraId="57318489"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根据国资委发布的房地产全行业财务水平，近三年平均净资产收益率和当年销售净利率优秀得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分；良好得</w:t>
            </w:r>
            <w:r>
              <w:rPr>
                <w:rFonts w:asciiTheme="minorHAnsi" w:eastAsiaTheme="minorEastAsia" w:hAnsiTheme="minorHAnsi" w:cstheme="minorBidi" w:hint="eastAsia"/>
                <w:sz w:val="18"/>
                <w:szCs w:val="18"/>
              </w:rPr>
              <w:t>0.8</w:t>
            </w:r>
            <w:r>
              <w:rPr>
                <w:rFonts w:asciiTheme="minorHAnsi" w:eastAsiaTheme="minorEastAsia" w:hAnsiTheme="minorHAnsi" w:cstheme="minorBidi" w:hint="eastAsia"/>
                <w:sz w:val="18"/>
                <w:szCs w:val="18"/>
              </w:rPr>
              <w:t>分；平均水平得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w:t>
            </w:r>
          </w:p>
          <w:p w14:paraId="21B671EF"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其中，净资产收益率</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归属于母公司所有者的净利润</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平均净资产；当年销售净利率</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归属于母公司所有者的净利润</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销售收入。（平均净资产</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（年初归属于母公司所有者权益合计</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年末归属于母公司所有者权益合计）</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w:t>
            </w:r>
          </w:p>
        </w:tc>
      </w:tr>
      <w:tr w:rsidR="0035415A" w14:paraId="3039C19B" w14:textId="77777777">
        <w:trPr>
          <w:cantSplit/>
          <w:jc w:val="center"/>
        </w:trPr>
        <w:tc>
          <w:tcPr>
            <w:tcW w:w="1166" w:type="dxa"/>
            <w:vMerge/>
            <w:tcBorders>
              <w:top w:val="single" w:sz="4" w:space="0" w:color="auto"/>
              <w:left w:val="single" w:sz="8" w:space="0" w:color="auto"/>
              <w:bottom w:val="single" w:sz="8" w:space="0" w:color="auto"/>
              <w:right w:val="single" w:sz="4" w:space="0" w:color="auto"/>
            </w:tcBorders>
            <w:vAlign w:val="center"/>
          </w:tcPr>
          <w:p w14:paraId="2A8E4B08"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8" w:space="0" w:color="auto"/>
              <w:right w:val="single" w:sz="4" w:space="0" w:color="auto"/>
            </w:tcBorders>
            <w:vAlign w:val="center"/>
          </w:tcPr>
          <w:p w14:paraId="2FE1345E"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8" w:space="0" w:color="auto"/>
              <w:right w:val="single" w:sz="4" w:space="0" w:color="auto"/>
            </w:tcBorders>
            <w:vAlign w:val="center"/>
          </w:tcPr>
          <w:p w14:paraId="6DA2D86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1.5.5</w:t>
            </w:r>
          </w:p>
          <w:p w14:paraId="1B54FAF4"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财务信息质量</w:t>
            </w:r>
          </w:p>
        </w:tc>
        <w:tc>
          <w:tcPr>
            <w:tcW w:w="854" w:type="dxa"/>
            <w:tcBorders>
              <w:top w:val="single" w:sz="4" w:space="0" w:color="auto"/>
              <w:left w:val="single" w:sz="4" w:space="0" w:color="auto"/>
              <w:bottom w:val="single" w:sz="8" w:space="0" w:color="auto"/>
              <w:right w:val="single" w:sz="4" w:space="0" w:color="auto"/>
            </w:tcBorders>
            <w:vAlign w:val="center"/>
          </w:tcPr>
          <w:p w14:paraId="262C2F25"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8" w:space="0" w:color="auto"/>
              <w:right w:val="single" w:sz="4" w:space="0" w:color="auto"/>
            </w:tcBorders>
            <w:vAlign w:val="center"/>
          </w:tcPr>
          <w:p w14:paraId="08196361"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通过评价企业财务报告审计情况及审计意见类型，考察财务信息质量。</w:t>
            </w:r>
          </w:p>
        </w:tc>
        <w:tc>
          <w:tcPr>
            <w:tcW w:w="6055" w:type="dxa"/>
            <w:tcBorders>
              <w:top w:val="single" w:sz="4" w:space="0" w:color="auto"/>
              <w:left w:val="single" w:sz="4" w:space="0" w:color="auto"/>
              <w:bottom w:val="single" w:sz="8" w:space="0" w:color="auto"/>
              <w:right w:val="single" w:sz="8" w:space="0" w:color="auto"/>
            </w:tcBorders>
            <w:vAlign w:val="center"/>
          </w:tcPr>
          <w:p w14:paraId="510637E9"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企业近三年财务报表已审计，出具无保留的标准审计意见，得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769BBDE8"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财务报表已审计，出具非标准审计意见，得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w:t>
            </w:r>
          </w:p>
          <w:p w14:paraId="4FD16C6F"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财务报表未审计，得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tc>
      </w:tr>
      <w:tr w:rsidR="0035415A" w14:paraId="5761C4C2" w14:textId="77777777">
        <w:trPr>
          <w:cantSplit/>
          <w:jc w:val="center"/>
        </w:trPr>
        <w:tc>
          <w:tcPr>
            <w:tcW w:w="1166" w:type="dxa"/>
            <w:vMerge w:val="restart"/>
            <w:tcBorders>
              <w:top w:val="single" w:sz="8" w:space="0" w:color="auto"/>
              <w:left w:val="single" w:sz="8" w:space="0" w:color="auto"/>
              <w:bottom w:val="single" w:sz="4" w:space="0" w:color="auto"/>
              <w:right w:val="single" w:sz="4" w:space="0" w:color="auto"/>
            </w:tcBorders>
            <w:vAlign w:val="center"/>
          </w:tcPr>
          <w:p w14:paraId="32C524A3" w14:textId="77777777" w:rsidR="0035415A" w:rsidRDefault="00000000">
            <w:pPr>
              <w:widowControl/>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 xml:space="preserve">2. </w:t>
            </w:r>
            <w:r>
              <w:rPr>
                <w:rFonts w:asciiTheme="minorHAnsi" w:eastAsiaTheme="minorEastAsia" w:hAnsiTheme="minorHAnsi" w:cstheme="minorBidi" w:hint="eastAsia"/>
                <w:sz w:val="18"/>
                <w:szCs w:val="18"/>
              </w:rPr>
              <w:t>企业经营信用情况（</w:t>
            </w:r>
            <w:r>
              <w:rPr>
                <w:rFonts w:asciiTheme="minorHAnsi" w:eastAsiaTheme="minorEastAsia" w:hAnsiTheme="minorHAnsi" w:cstheme="minorBidi" w:hint="eastAsia"/>
                <w:sz w:val="18"/>
                <w:szCs w:val="18"/>
              </w:rPr>
              <w:t>49</w:t>
            </w:r>
            <w:r>
              <w:rPr>
                <w:rFonts w:asciiTheme="minorHAnsi" w:eastAsiaTheme="minorEastAsia" w:hAnsiTheme="minorHAnsi" w:cstheme="minorBidi" w:hint="eastAsia"/>
                <w:sz w:val="18"/>
                <w:szCs w:val="18"/>
              </w:rPr>
              <w:t>分）</w:t>
            </w:r>
          </w:p>
        </w:tc>
        <w:tc>
          <w:tcPr>
            <w:tcW w:w="1376" w:type="dxa"/>
            <w:vMerge w:val="restart"/>
            <w:tcBorders>
              <w:top w:val="single" w:sz="8" w:space="0" w:color="auto"/>
              <w:left w:val="single" w:sz="4" w:space="0" w:color="auto"/>
              <w:bottom w:val="single" w:sz="4" w:space="0" w:color="auto"/>
              <w:right w:val="single" w:sz="4" w:space="0" w:color="auto"/>
            </w:tcBorders>
            <w:vAlign w:val="center"/>
          </w:tcPr>
          <w:p w14:paraId="501B4613"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2.1</w:t>
            </w:r>
          </w:p>
          <w:p w14:paraId="415C1DF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企业开发前期信用</w:t>
            </w:r>
          </w:p>
          <w:p w14:paraId="05F68F7C"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6</w:t>
            </w:r>
            <w:r>
              <w:rPr>
                <w:rFonts w:asciiTheme="minorHAnsi" w:eastAsiaTheme="minorEastAsia" w:hAnsiTheme="minorHAnsi" w:cstheme="minorBidi" w:hint="eastAsia"/>
                <w:sz w:val="18"/>
                <w:szCs w:val="18"/>
              </w:rPr>
              <w:t>分）</w:t>
            </w:r>
          </w:p>
        </w:tc>
        <w:tc>
          <w:tcPr>
            <w:tcW w:w="1701" w:type="dxa"/>
            <w:tcBorders>
              <w:top w:val="single" w:sz="8" w:space="0" w:color="auto"/>
              <w:left w:val="single" w:sz="4" w:space="0" w:color="auto"/>
              <w:bottom w:val="single" w:sz="4" w:space="0" w:color="auto"/>
              <w:right w:val="single" w:sz="4" w:space="0" w:color="auto"/>
            </w:tcBorders>
            <w:vAlign w:val="center"/>
          </w:tcPr>
          <w:p w14:paraId="5EEB3A19"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2.1.1</w:t>
            </w:r>
          </w:p>
          <w:p w14:paraId="0120B7D0"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土地运作信用</w:t>
            </w:r>
          </w:p>
        </w:tc>
        <w:tc>
          <w:tcPr>
            <w:tcW w:w="854" w:type="dxa"/>
            <w:tcBorders>
              <w:top w:val="single" w:sz="8" w:space="0" w:color="auto"/>
              <w:left w:val="single" w:sz="4" w:space="0" w:color="auto"/>
              <w:bottom w:val="single" w:sz="4" w:space="0" w:color="auto"/>
              <w:right w:val="single" w:sz="4" w:space="0" w:color="auto"/>
            </w:tcBorders>
            <w:vAlign w:val="center"/>
          </w:tcPr>
          <w:p w14:paraId="5F385B29"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3965" w:type="dxa"/>
            <w:tcBorders>
              <w:top w:val="single" w:sz="8" w:space="0" w:color="auto"/>
              <w:left w:val="single" w:sz="4" w:space="0" w:color="auto"/>
              <w:bottom w:val="single" w:sz="4" w:space="0" w:color="auto"/>
              <w:right w:val="single" w:sz="4" w:space="0" w:color="auto"/>
            </w:tcBorders>
            <w:vAlign w:val="center"/>
          </w:tcPr>
          <w:p w14:paraId="100E215F"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评价企业是否按程序获取土地，按合同履行义务。</w:t>
            </w:r>
          </w:p>
        </w:tc>
        <w:tc>
          <w:tcPr>
            <w:tcW w:w="6055" w:type="dxa"/>
            <w:tcBorders>
              <w:top w:val="single" w:sz="8" w:space="0" w:color="auto"/>
              <w:left w:val="single" w:sz="4" w:space="0" w:color="auto"/>
              <w:bottom w:val="single" w:sz="4" w:space="0" w:color="auto"/>
              <w:right w:val="single" w:sz="8" w:space="0" w:color="auto"/>
            </w:tcBorders>
            <w:vAlign w:val="center"/>
          </w:tcPr>
          <w:p w14:paraId="0922E08E"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企业近三年在获取土地过程中未严格遵守程序的，根据实际情况</w:t>
            </w:r>
            <w:proofErr w:type="gramStart"/>
            <w:r>
              <w:rPr>
                <w:rFonts w:asciiTheme="minorHAnsi" w:eastAsiaTheme="minorEastAsia" w:hAnsiTheme="minorHAnsi" w:cstheme="minorBidi" w:hint="eastAsia"/>
                <w:sz w:val="18"/>
                <w:szCs w:val="18"/>
              </w:rPr>
              <w:t>每项目扣</w:t>
            </w:r>
            <w:proofErr w:type="gramEnd"/>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分，累计扣满</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p w14:paraId="1A0D4D0D"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）购地资金来源违反规定；</w:t>
            </w:r>
          </w:p>
          <w:p w14:paraId="0B51BEAC"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）拿地过程存在未批先建、未取证先开工；</w:t>
            </w:r>
          </w:p>
          <w:p w14:paraId="5A0C82E2"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）未按合同按时足额支付土地出让金；</w:t>
            </w:r>
          </w:p>
          <w:p w14:paraId="2D05ECFF"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）因企业原因未按土地出让合同按时、按规划开发。</w:t>
            </w:r>
          </w:p>
        </w:tc>
      </w:tr>
      <w:tr w:rsidR="0035415A" w14:paraId="761CD7F9"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5CC62350"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38458FED"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AF4519"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2.1.2</w:t>
            </w:r>
          </w:p>
          <w:p w14:paraId="61FAAD4B"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规划许可信用</w:t>
            </w:r>
          </w:p>
        </w:tc>
        <w:tc>
          <w:tcPr>
            <w:tcW w:w="854" w:type="dxa"/>
            <w:tcBorders>
              <w:top w:val="single" w:sz="4" w:space="0" w:color="auto"/>
              <w:left w:val="single" w:sz="4" w:space="0" w:color="auto"/>
              <w:bottom w:val="single" w:sz="4" w:space="0" w:color="auto"/>
              <w:right w:val="single" w:sz="4" w:space="0" w:color="auto"/>
            </w:tcBorders>
            <w:vAlign w:val="center"/>
          </w:tcPr>
          <w:p w14:paraId="68D6EE96"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188BD041"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评价企业在规划许可过程中相关证书的规范办理情况。</w:t>
            </w:r>
          </w:p>
        </w:tc>
        <w:tc>
          <w:tcPr>
            <w:tcW w:w="6055" w:type="dxa"/>
            <w:tcBorders>
              <w:top w:val="single" w:sz="4" w:space="0" w:color="auto"/>
              <w:left w:val="single" w:sz="4" w:space="0" w:color="auto"/>
              <w:bottom w:val="single" w:sz="4" w:space="0" w:color="auto"/>
              <w:right w:val="single" w:sz="8" w:space="0" w:color="auto"/>
            </w:tcBorders>
            <w:vAlign w:val="center"/>
          </w:tcPr>
          <w:p w14:paraId="46C10655"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企业近三年在办理《建设用地规划许可证》、《国有土地使用权证》、《建设工程规划许可证》、《建筑工程施工许可证》过程中，有不遵守程序的行为，</w:t>
            </w:r>
            <w:proofErr w:type="gramStart"/>
            <w:r>
              <w:rPr>
                <w:rFonts w:asciiTheme="minorHAnsi" w:eastAsiaTheme="minorEastAsia" w:hAnsiTheme="minorHAnsi" w:cstheme="minorBidi" w:hint="eastAsia"/>
                <w:sz w:val="18"/>
                <w:szCs w:val="18"/>
              </w:rPr>
              <w:t>每项目</w:t>
            </w:r>
            <w:proofErr w:type="gramEnd"/>
            <w:r>
              <w:rPr>
                <w:rFonts w:asciiTheme="minorHAnsi" w:eastAsiaTheme="minorEastAsia" w:hAnsiTheme="minorHAnsi" w:cstheme="minorBidi" w:hint="eastAsia"/>
                <w:sz w:val="18"/>
                <w:szCs w:val="18"/>
              </w:rPr>
              <w:t>每项证书扣</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分，累计发生</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项，则</w:t>
            </w:r>
            <w:r>
              <w:rPr>
                <w:rFonts w:asciiTheme="minorHAnsi" w:eastAsiaTheme="minorEastAsia" w:hAnsiTheme="minorHAnsi" w:cstheme="minorBidi" w:hint="eastAsia"/>
                <w:sz w:val="18"/>
                <w:szCs w:val="18"/>
              </w:rPr>
              <w:t>2.1</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tc>
      </w:tr>
      <w:tr w:rsidR="0035415A" w14:paraId="2BCD6AC3"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4B965747"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619F2751"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1B4372D"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2.1.3</w:t>
            </w:r>
          </w:p>
          <w:p w14:paraId="69B590A3"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工程招标信用</w:t>
            </w:r>
          </w:p>
        </w:tc>
        <w:tc>
          <w:tcPr>
            <w:tcW w:w="854" w:type="dxa"/>
            <w:tcBorders>
              <w:top w:val="single" w:sz="4" w:space="0" w:color="auto"/>
              <w:left w:val="single" w:sz="4" w:space="0" w:color="auto"/>
              <w:bottom w:val="single" w:sz="4" w:space="0" w:color="auto"/>
              <w:right w:val="single" w:sz="4" w:space="0" w:color="auto"/>
            </w:tcBorders>
            <w:vAlign w:val="center"/>
          </w:tcPr>
          <w:p w14:paraId="757AAE81"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7E857D46"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评价企业选取供应商（包括材料设备供应商和承包商）时招标信用情况。</w:t>
            </w:r>
          </w:p>
        </w:tc>
        <w:tc>
          <w:tcPr>
            <w:tcW w:w="6055" w:type="dxa"/>
            <w:tcBorders>
              <w:top w:val="single" w:sz="4" w:space="0" w:color="auto"/>
              <w:left w:val="single" w:sz="4" w:space="0" w:color="auto"/>
              <w:bottom w:val="single" w:sz="4" w:space="0" w:color="auto"/>
              <w:right w:val="single" w:sz="8" w:space="0" w:color="auto"/>
            </w:tcBorders>
            <w:vAlign w:val="center"/>
          </w:tcPr>
          <w:p w14:paraId="6223F4B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企业近三年工程招标过程中发生以下情况</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根据实际情况</w:t>
            </w:r>
            <w:proofErr w:type="gramStart"/>
            <w:r>
              <w:rPr>
                <w:rFonts w:asciiTheme="minorHAnsi" w:eastAsiaTheme="minorEastAsia" w:hAnsiTheme="minorHAnsi" w:cstheme="minorBidi" w:hint="eastAsia"/>
                <w:sz w:val="18"/>
                <w:szCs w:val="18"/>
              </w:rPr>
              <w:t>每项目</w:t>
            </w:r>
            <w:proofErr w:type="gramEnd"/>
            <w:r>
              <w:rPr>
                <w:rFonts w:asciiTheme="minorHAnsi" w:eastAsiaTheme="minorEastAsia" w:hAnsiTheme="minorHAnsi" w:cstheme="minorBidi" w:hint="eastAsia"/>
                <w:sz w:val="18"/>
                <w:szCs w:val="18"/>
              </w:rPr>
              <w:t>每项扣</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累计发生</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项，则</w:t>
            </w:r>
            <w:r>
              <w:rPr>
                <w:rFonts w:asciiTheme="minorHAnsi" w:eastAsiaTheme="minorEastAsia" w:hAnsiTheme="minorHAnsi" w:cstheme="minorBidi" w:hint="eastAsia"/>
                <w:sz w:val="18"/>
                <w:szCs w:val="18"/>
              </w:rPr>
              <w:t>2.1</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18700E4A"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）未按规定进行招标；</w:t>
            </w:r>
          </w:p>
          <w:p w14:paraId="1DE0DF63"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）迫使总包不合理接受分包；</w:t>
            </w:r>
          </w:p>
          <w:p w14:paraId="56E69CC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）肢解项目进行招标；</w:t>
            </w:r>
          </w:p>
          <w:p w14:paraId="6819408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）企业与供应商进行标前谈判，或中标后就实质性条款进行谈判并更改。</w:t>
            </w:r>
          </w:p>
        </w:tc>
      </w:tr>
      <w:tr w:rsidR="0035415A" w14:paraId="3AF28114"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02858E04" w14:textId="77777777" w:rsidR="0035415A" w:rsidRDefault="0035415A">
            <w:pPr>
              <w:jc w:val="center"/>
              <w:rPr>
                <w:rFonts w:asciiTheme="minorHAnsi" w:eastAsiaTheme="minorEastAsia" w:hAnsiTheme="minorHAnsi" w:cstheme="minorBidi"/>
                <w:sz w:val="18"/>
                <w:szCs w:val="18"/>
              </w:rPr>
            </w:pPr>
          </w:p>
        </w:tc>
        <w:tc>
          <w:tcPr>
            <w:tcW w:w="1376" w:type="dxa"/>
            <w:vMerge w:val="restart"/>
            <w:tcBorders>
              <w:top w:val="single" w:sz="4" w:space="0" w:color="auto"/>
              <w:left w:val="single" w:sz="4" w:space="0" w:color="auto"/>
              <w:bottom w:val="single" w:sz="4" w:space="0" w:color="auto"/>
              <w:right w:val="single" w:sz="4" w:space="0" w:color="auto"/>
            </w:tcBorders>
            <w:vAlign w:val="center"/>
          </w:tcPr>
          <w:p w14:paraId="58A5D464"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2.2</w:t>
            </w:r>
          </w:p>
          <w:p w14:paraId="6CD1EF39"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企业建设阶段信用</w:t>
            </w:r>
          </w:p>
          <w:p w14:paraId="4CD347F4"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sz w:val="18"/>
                <w:szCs w:val="18"/>
              </w:rPr>
              <w:t>3</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607C4B5B"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2.2.1</w:t>
            </w:r>
          </w:p>
          <w:p w14:paraId="1B63DB9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质量信用</w:t>
            </w:r>
          </w:p>
        </w:tc>
        <w:tc>
          <w:tcPr>
            <w:tcW w:w="854" w:type="dxa"/>
            <w:tcBorders>
              <w:top w:val="single" w:sz="4" w:space="0" w:color="auto"/>
              <w:left w:val="single" w:sz="4" w:space="0" w:color="auto"/>
              <w:bottom w:val="single" w:sz="4" w:space="0" w:color="auto"/>
              <w:right w:val="single" w:sz="4" w:space="0" w:color="auto"/>
            </w:tcBorders>
            <w:vAlign w:val="center"/>
          </w:tcPr>
          <w:p w14:paraId="60EC2185"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4</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5DCEDA35"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评价企业保障质量信用的能力。</w:t>
            </w:r>
          </w:p>
        </w:tc>
        <w:tc>
          <w:tcPr>
            <w:tcW w:w="6055" w:type="dxa"/>
            <w:tcBorders>
              <w:top w:val="single" w:sz="4" w:space="0" w:color="auto"/>
              <w:left w:val="single" w:sz="4" w:space="0" w:color="auto"/>
              <w:bottom w:val="single" w:sz="4" w:space="0" w:color="auto"/>
              <w:right w:val="single" w:sz="8" w:space="0" w:color="auto"/>
            </w:tcBorders>
            <w:vAlign w:val="center"/>
          </w:tcPr>
          <w:p w14:paraId="63961CDC"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企业近三年开发项目经有关管理部门或专业机构认定，有下列情形的：</w:t>
            </w:r>
          </w:p>
          <w:p w14:paraId="10DE1C8F"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）房屋主体结构质量不合格，</w:t>
            </w:r>
            <w:proofErr w:type="gramStart"/>
            <w:r>
              <w:rPr>
                <w:rFonts w:asciiTheme="minorHAnsi" w:eastAsiaTheme="minorEastAsia" w:hAnsiTheme="minorHAnsi" w:cstheme="minorBidi" w:hint="eastAsia"/>
                <w:sz w:val="18"/>
                <w:szCs w:val="18"/>
              </w:rPr>
              <w:t>每项目扣</w:t>
            </w:r>
            <w:proofErr w:type="gramEnd"/>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分，累计超过</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个（含）项目，则</w:t>
            </w:r>
            <w:r>
              <w:rPr>
                <w:rFonts w:asciiTheme="minorHAnsi" w:eastAsiaTheme="minorEastAsia" w:hAnsiTheme="minorHAnsi" w:cstheme="minorBidi" w:hint="eastAsia"/>
                <w:sz w:val="18"/>
                <w:szCs w:val="18"/>
              </w:rPr>
              <w:t>2.2</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33FA5E5C"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）非主体结构问题但未能通过验收或经核验被认定为不符合</w:t>
            </w:r>
            <w:hyperlink r:id="rId12" w:tgtFrame="https://wenda.so.com/q/_blank" w:history="1">
              <w:r>
                <w:rPr>
                  <w:rFonts w:asciiTheme="minorHAnsi" w:eastAsiaTheme="minorEastAsia" w:hAnsiTheme="minorHAnsi" w:cstheme="minorBidi" w:hint="eastAsia"/>
                  <w:sz w:val="18"/>
                  <w:szCs w:val="18"/>
                </w:rPr>
                <w:t>质量要求</w:t>
              </w:r>
            </w:hyperlink>
            <w:r>
              <w:rPr>
                <w:rFonts w:asciiTheme="minorHAnsi" w:eastAsiaTheme="minorEastAsia" w:hAnsiTheme="minorHAnsi" w:cstheme="minorBidi" w:hint="eastAsia"/>
                <w:sz w:val="18"/>
                <w:szCs w:val="18"/>
              </w:rPr>
              <w:t>的，</w:t>
            </w:r>
            <w:proofErr w:type="gramStart"/>
            <w:r>
              <w:rPr>
                <w:rFonts w:asciiTheme="minorHAnsi" w:eastAsiaTheme="minorEastAsia" w:hAnsiTheme="minorHAnsi" w:cstheme="minorBidi" w:hint="eastAsia"/>
                <w:sz w:val="18"/>
                <w:szCs w:val="18"/>
              </w:rPr>
              <w:t>每项目扣</w:t>
            </w:r>
            <w:proofErr w:type="gramEnd"/>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分，累计超过</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个（含）项目，则</w:t>
            </w:r>
            <w:r>
              <w:rPr>
                <w:rFonts w:asciiTheme="minorHAnsi" w:eastAsiaTheme="minorEastAsia" w:hAnsiTheme="minorHAnsi" w:cstheme="minorBidi" w:hint="eastAsia"/>
                <w:sz w:val="18"/>
                <w:szCs w:val="18"/>
              </w:rPr>
              <w:t>2.2.1</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2702C30B"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）建设项目原材料和配套设备未按规定检验的，</w:t>
            </w:r>
            <w:proofErr w:type="gramStart"/>
            <w:r>
              <w:rPr>
                <w:rFonts w:asciiTheme="minorHAnsi" w:eastAsiaTheme="minorEastAsia" w:hAnsiTheme="minorHAnsi" w:cstheme="minorBidi" w:hint="eastAsia"/>
                <w:sz w:val="18"/>
                <w:szCs w:val="18"/>
              </w:rPr>
              <w:t>每项目扣</w:t>
            </w:r>
            <w:proofErr w:type="gramEnd"/>
            <w:r>
              <w:rPr>
                <w:rFonts w:asciiTheme="minorHAnsi" w:eastAsiaTheme="minorEastAsia" w:hAnsiTheme="minorHAnsi" w:cstheme="minorBidi"/>
                <w:sz w:val="18"/>
                <w:szCs w:val="18"/>
              </w:rPr>
              <w:t>1</w:t>
            </w:r>
            <w:r>
              <w:rPr>
                <w:rFonts w:asciiTheme="minorHAnsi" w:eastAsiaTheme="minorEastAsia" w:hAnsiTheme="minorHAnsi" w:cstheme="minorBidi" w:hint="eastAsia"/>
                <w:sz w:val="18"/>
                <w:szCs w:val="18"/>
              </w:rPr>
              <w:t>分；</w:t>
            </w:r>
          </w:p>
          <w:p w14:paraId="30014BBF"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）施工过程隐蔽工程合格证不齐全，</w:t>
            </w:r>
            <w:proofErr w:type="gramStart"/>
            <w:r>
              <w:rPr>
                <w:rFonts w:asciiTheme="minorHAnsi" w:eastAsiaTheme="minorEastAsia" w:hAnsiTheme="minorHAnsi" w:cstheme="minorBidi" w:hint="eastAsia"/>
                <w:sz w:val="18"/>
                <w:szCs w:val="18"/>
              </w:rPr>
              <w:t>每项目每</w:t>
            </w:r>
            <w:proofErr w:type="gramEnd"/>
            <w:r>
              <w:rPr>
                <w:rFonts w:asciiTheme="minorHAnsi" w:eastAsiaTheme="minorEastAsia" w:hAnsiTheme="minorHAnsi" w:cstheme="minorBidi" w:hint="eastAsia"/>
                <w:sz w:val="18"/>
                <w:szCs w:val="18"/>
              </w:rPr>
              <w:t>缺少</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个扣</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w:t>
            </w:r>
          </w:p>
          <w:p w14:paraId="3CC3B48E"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5</w:t>
            </w:r>
            <w:r>
              <w:rPr>
                <w:rFonts w:asciiTheme="minorHAnsi" w:eastAsiaTheme="minorEastAsia" w:hAnsiTheme="minorHAnsi" w:cstheme="minorBidi" w:hint="eastAsia"/>
                <w:sz w:val="18"/>
                <w:szCs w:val="18"/>
              </w:rPr>
              <w:t>）因质量问题严重影响正常使用功能和用途，包括渗水漏水、墙皮空鼓开裂等，</w:t>
            </w:r>
            <w:proofErr w:type="gramStart"/>
            <w:r>
              <w:rPr>
                <w:rFonts w:asciiTheme="minorHAnsi" w:eastAsiaTheme="minorEastAsia" w:hAnsiTheme="minorHAnsi" w:cstheme="minorBidi" w:hint="eastAsia"/>
                <w:sz w:val="18"/>
                <w:szCs w:val="18"/>
              </w:rPr>
              <w:t>每项目扣</w:t>
            </w:r>
            <w:proofErr w:type="gramEnd"/>
            <w:r>
              <w:rPr>
                <w:rFonts w:asciiTheme="minorHAnsi" w:eastAsiaTheme="minorEastAsia" w:hAnsiTheme="minorHAnsi" w:cstheme="minorBidi" w:hint="eastAsia"/>
                <w:sz w:val="18"/>
                <w:szCs w:val="18"/>
              </w:rPr>
              <w:t>0</w:t>
            </w:r>
            <w:r>
              <w:rPr>
                <w:rFonts w:asciiTheme="minorHAnsi" w:eastAsiaTheme="minorEastAsia" w:hAnsiTheme="minorHAnsi" w:cstheme="minorBidi"/>
                <w:sz w:val="18"/>
                <w:szCs w:val="18"/>
              </w:rPr>
              <w:t>.5</w:t>
            </w:r>
            <w:r>
              <w:rPr>
                <w:rFonts w:asciiTheme="minorHAnsi" w:eastAsiaTheme="minorEastAsia" w:hAnsiTheme="minorHAnsi" w:cstheme="minorBidi" w:hint="eastAsia"/>
                <w:sz w:val="18"/>
                <w:szCs w:val="18"/>
              </w:rPr>
              <w:t>分。</w:t>
            </w:r>
          </w:p>
        </w:tc>
      </w:tr>
      <w:tr w:rsidR="0035415A" w14:paraId="32007593"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044EBFC6"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C1FCACC"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AB3D2F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2.2.2</w:t>
            </w:r>
          </w:p>
          <w:p w14:paraId="6FB14C4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进度信用</w:t>
            </w:r>
          </w:p>
        </w:tc>
        <w:tc>
          <w:tcPr>
            <w:tcW w:w="854" w:type="dxa"/>
            <w:tcBorders>
              <w:top w:val="single" w:sz="4" w:space="0" w:color="auto"/>
              <w:left w:val="single" w:sz="4" w:space="0" w:color="auto"/>
              <w:bottom w:val="single" w:sz="4" w:space="0" w:color="auto"/>
              <w:right w:val="single" w:sz="4" w:space="0" w:color="auto"/>
            </w:tcBorders>
            <w:vAlign w:val="center"/>
          </w:tcPr>
          <w:p w14:paraId="7FC85E56"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44D816EE"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评价企业在工程进度控制方面的信用。</w:t>
            </w:r>
          </w:p>
        </w:tc>
        <w:tc>
          <w:tcPr>
            <w:tcW w:w="6055" w:type="dxa"/>
            <w:tcBorders>
              <w:top w:val="single" w:sz="4" w:space="0" w:color="auto"/>
              <w:left w:val="single" w:sz="4" w:space="0" w:color="auto"/>
              <w:bottom w:val="single" w:sz="4" w:space="0" w:color="auto"/>
              <w:right w:val="single" w:sz="8" w:space="0" w:color="auto"/>
            </w:tcBorders>
            <w:vAlign w:val="center"/>
          </w:tcPr>
          <w:p w14:paraId="30F494E2"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企业近三年存在拖延工期或不合理赶工期的项目，每项扣</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分。因政府原因造成的拖延工期（政府相关部门如规划、建设主管部门应提供证明材料）除外。</w:t>
            </w:r>
          </w:p>
        </w:tc>
      </w:tr>
      <w:tr w:rsidR="0035415A" w14:paraId="35282D88"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56AB4937"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0424A165"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C504E13"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2.2.3</w:t>
            </w:r>
          </w:p>
          <w:p w14:paraId="7FCFF315"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安全信用</w:t>
            </w:r>
          </w:p>
        </w:tc>
        <w:tc>
          <w:tcPr>
            <w:tcW w:w="854" w:type="dxa"/>
            <w:tcBorders>
              <w:top w:val="single" w:sz="4" w:space="0" w:color="auto"/>
              <w:left w:val="single" w:sz="4" w:space="0" w:color="auto"/>
              <w:bottom w:val="single" w:sz="4" w:space="0" w:color="auto"/>
              <w:right w:val="single" w:sz="4" w:space="0" w:color="auto"/>
            </w:tcBorders>
            <w:vAlign w:val="center"/>
          </w:tcPr>
          <w:p w14:paraId="67AD7812"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5</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04E425BB"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评价企业防范安全事故的措施及管理结果两个层面，事故类别按国务院文件。</w:t>
            </w:r>
          </w:p>
        </w:tc>
        <w:tc>
          <w:tcPr>
            <w:tcW w:w="6055" w:type="dxa"/>
            <w:tcBorders>
              <w:top w:val="single" w:sz="4" w:space="0" w:color="auto"/>
              <w:left w:val="single" w:sz="4" w:space="0" w:color="auto"/>
              <w:bottom w:val="single" w:sz="4" w:space="0" w:color="auto"/>
              <w:right w:val="single" w:sz="8" w:space="0" w:color="auto"/>
            </w:tcBorders>
            <w:vAlign w:val="center"/>
          </w:tcPr>
          <w:p w14:paraId="3F882C95"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企业近三年发生较大及以上工程安全事故，每次扣</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分，</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次（含）以上，则</w:t>
            </w:r>
            <w:r>
              <w:rPr>
                <w:rFonts w:asciiTheme="minorHAnsi" w:eastAsiaTheme="minorEastAsia" w:hAnsiTheme="minorHAnsi" w:cstheme="minorBidi" w:hint="eastAsia"/>
                <w:sz w:val="18"/>
                <w:szCs w:val="18"/>
              </w:rPr>
              <w:t>2.2</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66232C10"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企业近三年发生一般安全事故每次扣</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次（含）以上，则</w:t>
            </w:r>
            <w:r>
              <w:rPr>
                <w:rFonts w:asciiTheme="minorHAnsi" w:eastAsiaTheme="minorEastAsia" w:hAnsiTheme="minorHAnsi" w:cstheme="minorBidi" w:hint="eastAsia"/>
                <w:sz w:val="18"/>
                <w:szCs w:val="18"/>
              </w:rPr>
              <w:t>2.2.3</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r>
              <w:rPr>
                <w:rFonts w:asciiTheme="minorHAnsi" w:eastAsiaTheme="minorEastAsia" w:hAnsiTheme="minorHAnsi" w:cstheme="minorBidi" w:hint="eastAsia"/>
                <w:sz w:val="18"/>
                <w:szCs w:val="18"/>
              </w:rPr>
              <w:t>;</w:t>
            </w:r>
          </w:p>
          <w:p w14:paraId="6E5E5D24"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企业近三年项目未按要求制定安全技术措施</w:t>
            </w:r>
            <w:proofErr w:type="gramStart"/>
            <w:r>
              <w:rPr>
                <w:rFonts w:asciiTheme="minorHAnsi" w:eastAsiaTheme="minorEastAsia" w:hAnsiTheme="minorHAnsi" w:cstheme="minorBidi" w:hint="eastAsia"/>
                <w:sz w:val="18"/>
                <w:szCs w:val="18"/>
              </w:rPr>
              <w:t>每项目扣</w:t>
            </w:r>
            <w:proofErr w:type="gramEnd"/>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w:t>
            </w:r>
          </w:p>
        </w:tc>
      </w:tr>
      <w:tr w:rsidR="0035415A" w14:paraId="69D352A6"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61679332"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D86C85E"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6C1AADF"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2.2.4</w:t>
            </w:r>
          </w:p>
          <w:p w14:paraId="1EC4F5FF"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竣工验收</w:t>
            </w:r>
          </w:p>
        </w:tc>
        <w:tc>
          <w:tcPr>
            <w:tcW w:w="854" w:type="dxa"/>
            <w:tcBorders>
              <w:top w:val="single" w:sz="4" w:space="0" w:color="auto"/>
              <w:left w:val="single" w:sz="4" w:space="0" w:color="auto"/>
              <w:bottom w:val="single" w:sz="4" w:space="0" w:color="auto"/>
              <w:right w:val="single" w:sz="4" w:space="0" w:color="auto"/>
            </w:tcBorders>
            <w:vAlign w:val="center"/>
          </w:tcPr>
          <w:p w14:paraId="051DE7F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6758CEA3"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评价企业工程竣工阶段竣工验收的合法合</w:t>
            </w:r>
            <w:proofErr w:type="gramStart"/>
            <w:r>
              <w:rPr>
                <w:rFonts w:asciiTheme="minorHAnsi" w:eastAsiaTheme="minorEastAsia" w:hAnsiTheme="minorHAnsi" w:cstheme="minorBidi" w:hint="eastAsia"/>
                <w:sz w:val="18"/>
                <w:szCs w:val="18"/>
              </w:rPr>
              <w:t>规</w:t>
            </w:r>
            <w:proofErr w:type="gramEnd"/>
            <w:r>
              <w:rPr>
                <w:rFonts w:asciiTheme="minorHAnsi" w:eastAsiaTheme="minorEastAsia" w:hAnsiTheme="minorHAnsi" w:cstheme="minorBidi" w:hint="eastAsia"/>
                <w:sz w:val="18"/>
                <w:szCs w:val="18"/>
              </w:rPr>
              <w:t>性。</w:t>
            </w:r>
          </w:p>
        </w:tc>
        <w:tc>
          <w:tcPr>
            <w:tcW w:w="6055" w:type="dxa"/>
            <w:tcBorders>
              <w:top w:val="single" w:sz="4" w:space="0" w:color="auto"/>
              <w:left w:val="single" w:sz="4" w:space="0" w:color="auto"/>
              <w:bottom w:val="single" w:sz="4" w:space="0" w:color="auto"/>
              <w:right w:val="single" w:sz="8" w:space="0" w:color="auto"/>
            </w:tcBorders>
            <w:vAlign w:val="center"/>
          </w:tcPr>
          <w:p w14:paraId="54FC303C"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企业近三年竣工的项目，未按相关规定办理规划、消防、配套设施等验收，</w:t>
            </w:r>
            <w:proofErr w:type="gramStart"/>
            <w:r>
              <w:rPr>
                <w:rFonts w:asciiTheme="minorHAnsi" w:eastAsiaTheme="minorEastAsia" w:hAnsiTheme="minorHAnsi" w:cstheme="minorBidi" w:hint="eastAsia"/>
                <w:sz w:val="18"/>
                <w:szCs w:val="18"/>
              </w:rPr>
              <w:t>每项目每</w:t>
            </w:r>
            <w:proofErr w:type="gramEnd"/>
            <w:r>
              <w:rPr>
                <w:rFonts w:asciiTheme="minorHAnsi" w:eastAsiaTheme="minorEastAsia" w:hAnsiTheme="minorHAnsi" w:cstheme="minorBidi" w:hint="eastAsia"/>
                <w:sz w:val="18"/>
                <w:szCs w:val="18"/>
              </w:rPr>
              <w:t>缺少</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项扣</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w:t>
            </w:r>
          </w:p>
        </w:tc>
      </w:tr>
      <w:tr w:rsidR="0035415A" w14:paraId="03EC3BC0"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6B1696E0" w14:textId="77777777" w:rsidR="0035415A" w:rsidRDefault="0035415A">
            <w:pPr>
              <w:jc w:val="center"/>
              <w:rPr>
                <w:rFonts w:asciiTheme="minorHAnsi" w:eastAsiaTheme="minorEastAsia" w:hAnsiTheme="minorHAnsi" w:cstheme="minorBidi"/>
                <w:sz w:val="18"/>
                <w:szCs w:val="18"/>
              </w:rPr>
            </w:pPr>
          </w:p>
        </w:tc>
        <w:tc>
          <w:tcPr>
            <w:tcW w:w="1376" w:type="dxa"/>
            <w:vMerge w:val="restart"/>
            <w:tcBorders>
              <w:top w:val="single" w:sz="4" w:space="0" w:color="auto"/>
              <w:left w:val="single" w:sz="4" w:space="0" w:color="auto"/>
              <w:bottom w:val="single" w:sz="4" w:space="0" w:color="auto"/>
              <w:right w:val="single" w:sz="4" w:space="0" w:color="auto"/>
            </w:tcBorders>
            <w:vAlign w:val="center"/>
          </w:tcPr>
          <w:p w14:paraId="5CA6F0C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2.3</w:t>
            </w:r>
          </w:p>
          <w:p w14:paraId="0B70079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企业租售阶段信用</w:t>
            </w:r>
          </w:p>
          <w:p w14:paraId="63E00B03"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sz w:val="18"/>
                <w:szCs w:val="18"/>
              </w:rPr>
              <w:t>3</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2513662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2.3.1</w:t>
            </w:r>
          </w:p>
          <w:p w14:paraId="7442CDDE"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推广信用</w:t>
            </w:r>
          </w:p>
        </w:tc>
        <w:tc>
          <w:tcPr>
            <w:tcW w:w="854" w:type="dxa"/>
            <w:tcBorders>
              <w:top w:val="single" w:sz="4" w:space="0" w:color="auto"/>
              <w:left w:val="single" w:sz="4" w:space="0" w:color="auto"/>
              <w:bottom w:val="single" w:sz="4" w:space="0" w:color="auto"/>
              <w:right w:val="single" w:sz="4" w:space="0" w:color="auto"/>
            </w:tcBorders>
            <w:vAlign w:val="center"/>
          </w:tcPr>
          <w:p w14:paraId="41E0A679"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8</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625F4E4A"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评价企业在租赁或销售推广过程中的信用情况。是否遵守相关规定，合法合</w:t>
            </w:r>
            <w:proofErr w:type="gramStart"/>
            <w:r>
              <w:rPr>
                <w:rFonts w:asciiTheme="minorHAnsi" w:eastAsiaTheme="minorEastAsia" w:hAnsiTheme="minorHAnsi" w:cstheme="minorBidi" w:hint="eastAsia"/>
                <w:sz w:val="18"/>
                <w:szCs w:val="18"/>
              </w:rPr>
              <w:t>规</w:t>
            </w:r>
            <w:proofErr w:type="gramEnd"/>
            <w:r>
              <w:rPr>
                <w:rFonts w:asciiTheme="minorHAnsi" w:eastAsiaTheme="minorEastAsia" w:hAnsiTheme="minorHAnsi" w:cstheme="minorBidi" w:hint="eastAsia"/>
                <w:sz w:val="18"/>
                <w:szCs w:val="18"/>
              </w:rPr>
              <w:t>执行；是否存在欺诈、误导消费者的行为。</w:t>
            </w:r>
          </w:p>
        </w:tc>
        <w:tc>
          <w:tcPr>
            <w:tcW w:w="6055" w:type="dxa"/>
            <w:tcBorders>
              <w:top w:val="single" w:sz="4" w:space="0" w:color="auto"/>
              <w:left w:val="single" w:sz="4" w:space="0" w:color="auto"/>
              <w:bottom w:val="single" w:sz="4" w:space="0" w:color="auto"/>
              <w:right w:val="single" w:sz="8" w:space="0" w:color="auto"/>
            </w:tcBorders>
            <w:vAlign w:val="center"/>
          </w:tcPr>
          <w:p w14:paraId="7D4B6105"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企业商品房全部</w:t>
            </w:r>
            <w:proofErr w:type="gramStart"/>
            <w:r>
              <w:rPr>
                <w:rFonts w:asciiTheme="minorHAnsi" w:eastAsiaTheme="minorEastAsia" w:hAnsiTheme="minorHAnsi" w:cstheme="minorBidi" w:hint="eastAsia"/>
                <w:sz w:val="18"/>
                <w:szCs w:val="18"/>
              </w:rPr>
              <w:t>出售按</w:t>
            </w:r>
            <w:proofErr w:type="gramEnd"/>
            <w:r>
              <w:rPr>
                <w:rFonts w:asciiTheme="minorHAnsi" w:eastAsiaTheme="minorEastAsia" w:hAnsiTheme="minorHAnsi" w:cstheme="minorBidi"/>
                <w:sz w:val="18"/>
                <w:szCs w:val="18"/>
              </w:rPr>
              <w:t>2.3.1</w:t>
            </w:r>
            <w:r>
              <w:rPr>
                <w:rFonts w:asciiTheme="minorHAnsi" w:eastAsiaTheme="minorEastAsia" w:hAnsiTheme="minorHAnsi" w:cstheme="minorBidi" w:hint="eastAsia"/>
                <w:sz w:val="18"/>
                <w:szCs w:val="18"/>
              </w:rPr>
              <w:t>评价；全部租赁按</w:t>
            </w:r>
            <w:r>
              <w:rPr>
                <w:rFonts w:asciiTheme="minorHAnsi" w:eastAsiaTheme="minorEastAsia" w:hAnsiTheme="minorHAnsi" w:cstheme="minorBidi"/>
                <w:sz w:val="18"/>
                <w:szCs w:val="18"/>
              </w:rPr>
              <w:t>2.3.1</w:t>
            </w:r>
            <w:r>
              <w:rPr>
                <w:rFonts w:asciiTheme="minorHAnsi" w:eastAsiaTheme="minorEastAsia" w:hAnsiTheme="minorHAnsi" w:cstheme="minorBidi" w:hint="eastAsia"/>
                <w:sz w:val="18"/>
                <w:szCs w:val="18"/>
              </w:rPr>
              <w:t>中</w:t>
            </w:r>
            <w:r>
              <w:rPr>
                <w:rFonts w:asciiTheme="minorHAnsi" w:eastAsiaTheme="minorEastAsia" w:hAnsiTheme="minorHAnsi" w:cstheme="minorBidi"/>
                <w:sz w:val="18"/>
                <w:szCs w:val="18"/>
              </w:rPr>
              <w:t>1</w:t>
            </w: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4</w:t>
            </w: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5</w:t>
            </w: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6</w:t>
            </w: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7</w:t>
            </w: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8</w:t>
            </w: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10</w:t>
            </w:r>
            <w:r>
              <w:rPr>
                <w:rFonts w:asciiTheme="minorHAnsi" w:eastAsiaTheme="minorEastAsia" w:hAnsiTheme="minorHAnsi" w:cstheme="minorBidi" w:hint="eastAsia"/>
                <w:sz w:val="18"/>
                <w:szCs w:val="18"/>
              </w:rPr>
              <w:t>项评价；租售情况同时存在，按当期合理的租售比值综合确定分值。</w:t>
            </w:r>
          </w:p>
          <w:p w14:paraId="4FD5EB7C"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w:t>
            </w:r>
            <w:proofErr w:type="gramStart"/>
            <w:r>
              <w:rPr>
                <w:rFonts w:asciiTheme="minorHAnsi" w:eastAsiaTheme="minorEastAsia" w:hAnsiTheme="minorHAnsi" w:cstheme="minorBidi" w:hint="eastAsia"/>
                <w:sz w:val="18"/>
                <w:szCs w:val="18"/>
              </w:rPr>
              <w:t>每项目</w:t>
            </w:r>
            <w:proofErr w:type="gramEnd"/>
            <w:r>
              <w:rPr>
                <w:rFonts w:asciiTheme="minorHAnsi" w:eastAsiaTheme="minorEastAsia" w:hAnsiTheme="minorHAnsi" w:cstheme="minorBidi" w:hint="eastAsia"/>
                <w:sz w:val="18"/>
                <w:szCs w:val="18"/>
              </w:rPr>
              <w:t>在租赁或预售销售过程中，如出现下列情况，每项扣</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分，累计扣满</w:t>
            </w:r>
            <w:r>
              <w:rPr>
                <w:rFonts w:asciiTheme="minorHAnsi" w:eastAsiaTheme="minorEastAsia" w:hAnsiTheme="minorHAnsi" w:cstheme="minorBidi" w:hint="eastAsia"/>
                <w:sz w:val="18"/>
                <w:szCs w:val="18"/>
              </w:rPr>
              <w:t>8</w:t>
            </w:r>
            <w:r>
              <w:rPr>
                <w:rFonts w:asciiTheme="minorHAnsi" w:eastAsiaTheme="minorEastAsia" w:hAnsiTheme="minorHAnsi" w:cstheme="minorBidi" w:hint="eastAsia"/>
                <w:sz w:val="18"/>
                <w:szCs w:val="18"/>
              </w:rPr>
              <w:t>分；若发生下列</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项不同的非诚信行为，</w:t>
            </w:r>
            <w:r>
              <w:rPr>
                <w:rFonts w:asciiTheme="minorHAnsi" w:eastAsiaTheme="minorEastAsia" w:hAnsiTheme="minorHAnsi" w:cstheme="minorBidi" w:hint="eastAsia"/>
                <w:sz w:val="18"/>
                <w:szCs w:val="18"/>
              </w:rPr>
              <w:t>2.3.1</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分；发生</w:t>
            </w:r>
            <w:r>
              <w:rPr>
                <w:rFonts w:asciiTheme="minorHAnsi" w:eastAsiaTheme="minorEastAsia" w:hAnsiTheme="minorHAnsi" w:cstheme="minorBidi" w:hint="eastAsia"/>
                <w:sz w:val="18"/>
                <w:szCs w:val="18"/>
              </w:rPr>
              <w:t>5</w:t>
            </w:r>
            <w:r>
              <w:rPr>
                <w:rFonts w:asciiTheme="minorHAnsi" w:eastAsiaTheme="minorEastAsia" w:hAnsiTheme="minorHAnsi" w:cstheme="minorBidi" w:hint="eastAsia"/>
                <w:sz w:val="18"/>
                <w:szCs w:val="18"/>
              </w:rPr>
              <w:t>项则</w:t>
            </w:r>
            <w:r>
              <w:rPr>
                <w:rFonts w:asciiTheme="minorHAnsi" w:eastAsiaTheme="minorEastAsia" w:hAnsiTheme="minorHAnsi" w:cstheme="minorBidi" w:hint="eastAsia"/>
                <w:sz w:val="18"/>
                <w:szCs w:val="18"/>
              </w:rPr>
              <w:t>2.3</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5CB7D8D3"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）发布虚假房源信息；</w:t>
            </w:r>
          </w:p>
          <w:p w14:paraId="1405FC42"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发布广告含有以下内容之一：升值或者投资回报的承诺；以项目到达某一具体参照物的所需时间表示项目位置；违反国家有关价格管理的规定；对规划或者建设中的交通、商业、文化教育设施以及其他市政条件作误导宣传；</w:t>
            </w:r>
          </w:p>
          <w:p w14:paraId="44AB2F24"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）存在以下情况仍在发布广告</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在未经依法取得国有土地使用权的土地上开发建设；在未经国家征用的集体所有的土地上建设；司法机关和行政机关依法规定、决定查封或者以其他形式限制房地产权利；预售房地产，但未取得该项目预售许可证；权属有争议；不符合工程质量标准，验收不合格；</w:t>
            </w:r>
          </w:p>
          <w:p w14:paraId="763C56A2"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）广告中未载明以下事项：开发企业名称；中介服务机构代理租赁或销售，中介服务机构名称；预售或者销售许可证书号；</w:t>
            </w:r>
          </w:p>
          <w:p w14:paraId="03D48DE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5</w:t>
            </w:r>
            <w:r>
              <w:rPr>
                <w:rFonts w:asciiTheme="minorHAnsi" w:eastAsiaTheme="minorEastAsia" w:hAnsiTheme="minorHAnsi" w:cstheme="minorBidi" w:hint="eastAsia"/>
                <w:sz w:val="18"/>
                <w:szCs w:val="18"/>
              </w:rPr>
              <w:t>）广告中含有风水、占卜等封建迷信内容，有悖社会良好风尚；</w:t>
            </w:r>
          </w:p>
          <w:p w14:paraId="0C546C93"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6</w:t>
            </w:r>
            <w:r>
              <w:rPr>
                <w:rFonts w:asciiTheme="minorHAnsi" w:eastAsiaTheme="minorEastAsia" w:hAnsiTheme="minorHAnsi" w:cstheme="minorBidi" w:hint="eastAsia"/>
                <w:sz w:val="18"/>
                <w:szCs w:val="18"/>
              </w:rPr>
              <w:t>）广告中存在价格、面积、配套设施等欺诈现象；</w:t>
            </w:r>
          </w:p>
          <w:p w14:paraId="1DD609D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7</w:t>
            </w:r>
            <w:r>
              <w:rPr>
                <w:rFonts w:asciiTheme="minorHAnsi" w:eastAsiaTheme="minorEastAsia" w:hAnsiTheme="minorHAnsi" w:cstheme="minorBidi" w:hint="eastAsia"/>
                <w:sz w:val="18"/>
                <w:szCs w:val="18"/>
              </w:rPr>
              <w:t>）广告利用其他项目的形象、环境作为本项目的效果误导消费者，或以非法组织颁发奖项或荣誉诱导、误导消费者购买或租赁行为；</w:t>
            </w:r>
          </w:p>
          <w:p w14:paraId="374426B1"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8</w:t>
            </w:r>
            <w:r>
              <w:rPr>
                <w:rFonts w:asciiTheme="minorHAnsi" w:eastAsiaTheme="minorEastAsia" w:hAnsiTheme="minorHAnsi" w:cstheme="minorBidi" w:hint="eastAsia"/>
                <w:sz w:val="18"/>
                <w:szCs w:val="18"/>
              </w:rPr>
              <w:t>）广告中出现融资或者变相融资的内容；</w:t>
            </w:r>
          </w:p>
          <w:p w14:paraId="4C8D26DF"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9</w:t>
            </w:r>
            <w:r>
              <w:rPr>
                <w:rFonts w:asciiTheme="minorHAnsi" w:eastAsiaTheme="minorEastAsia" w:hAnsiTheme="minorHAnsi" w:cstheme="minorBidi" w:hint="eastAsia"/>
                <w:sz w:val="18"/>
                <w:szCs w:val="18"/>
              </w:rPr>
              <w:t>）广告中有能够为入住者办理户口、就业、升学等事项的承诺；</w:t>
            </w:r>
          </w:p>
          <w:p w14:paraId="5E19194B"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10</w:t>
            </w:r>
            <w:r>
              <w:rPr>
                <w:rFonts w:asciiTheme="minorHAnsi" w:eastAsiaTheme="minorEastAsia" w:hAnsiTheme="minorHAnsi" w:cstheme="minorBidi" w:hint="eastAsia"/>
                <w:sz w:val="18"/>
                <w:szCs w:val="18"/>
              </w:rPr>
              <w:t>）广告中涉及虚假装修装饰内容。</w:t>
            </w:r>
          </w:p>
        </w:tc>
      </w:tr>
      <w:tr w:rsidR="0035415A" w14:paraId="41A8F369"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18BCDEA3"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20B5DB4C"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BAAC26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2.3.2</w:t>
            </w:r>
          </w:p>
          <w:p w14:paraId="60F0FAC7"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预、销售信用</w:t>
            </w:r>
          </w:p>
        </w:tc>
        <w:tc>
          <w:tcPr>
            <w:tcW w:w="854" w:type="dxa"/>
            <w:tcBorders>
              <w:top w:val="single" w:sz="4" w:space="0" w:color="auto"/>
              <w:left w:val="single" w:sz="4" w:space="0" w:color="auto"/>
              <w:bottom w:val="single" w:sz="4" w:space="0" w:color="auto"/>
              <w:right w:val="single" w:sz="4" w:space="0" w:color="auto"/>
            </w:tcBorders>
            <w:vAlign w:val="center"/>
          </w:tcPr>
          <w:p w14:paraId="17D18CD2"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9</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5D1416AD"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评价企业预售和销售商品房的信用情况。主要包括是否严格遵守相关规定，按照相关程序合法合</w:t>
            </w:r>
            <w:proofErr w:type="gramStart"/>
            <w:r>
              <w:rPr>
                <w:rFonts w:asciiTheme="minorHAnsi" w:eastAsiaTheme="minorEastAsia" w:hAnsiTheme="minorHAnsi" w:cstheme="minorBidi" w:hint="eastAsia"/>
                <w:sz w:val="18"/>
                <w:szCs w:val="18"/>
              </w:rPr>
              <w:t>规</w:t>
            </w:r>
            <w:proofErr w:type="gramEnd"/>
            <w:r>
              <w:rPr>
                <w:rFonts w:asciiTheme="minorHAnsi" w:eastAsiaTheme="minorEastAsia" w:hAnsiTheme="minorHAnsi" w:cstheme="minorBidi" w:hint="eastAsia"/>
                <w:sz w:val="18"/>
                <w:szCs w:val="18"/>
              </w:rPr>
              <w:t>预售、销售；在出售商品房过程中有无欺诈、误导消费者行为。</w:t>
            </w:r>
          </w:p>
        </w:tc>
        <w:tc>
          <w:tcPr>
            <w:tcW w:w="6055" w:type="dxa"/>
            <w:tcBorders>
              <w:top w:val="single" w:sz="4" w:space="0" w:color="auto"/>
              <w:left w:val="single" w:sz="4" w:space="0" w:color="auto"/>
              <w:bottom w:val="single" w:sz="4" w:space="0" w:color="auto"/>
              <w:right w:val="single" w:sz="8" w:space="0" w:color="auto"/>
            </w:tcBorders>
            <w:vAlign w:val="center"/>
          </w:tcPr>
          <w:p w14:paraId="66B6C223"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w:t>
            </w:r>
            <w:proofErr w:type="gramStart"/>
            <w:r>
              <w:rPr>
                <w:rFonts w:asciiTheme="minorHAnsi" w:eastAsiaTheme="minorEastAsia" w:hAnsiTheme="minorHAnsi" w:cstheme="minorBidi" w:hint="eastAsia"/>
                <w:sz w:val="18"/>
                <w:szCs w:val="18"/>
              </w:rPr>
              <w:t>每项目</w:t>
            </w:r>
            <w:proofErr w:type="gramEnd"/>
            <w:r>
              <w:rPr>
                <w:rFonts w:asciiTheme="minorHAnsi" w:eastAsiaTheme="minorEastAsia" w:hAnsiTheme="minorHAnsi" w:cstheme="minorBidi" w:hint="eastAsia"/>
                <w:sz w:val="18"/>
                <w:szCs w:val="18"/>
              </w:rPr>
              <w:t>在预售销售过程中，如出现下列情况，每项扣</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分，累计扣满</w:t>
            </w:r>
            <w:r>
              <w:rPr>
                <w:rFonts w:asciiTheme="minorHAnsi" w:eastAsiaTheme="minorEastAsia" w:hAnsiTheme="minorHAnsi" w:cstheme="minorBidi" w:hint="eastAsia"/>
                <w:sz w:val="18"/>
                <w:szCs w:val="18"/>
              </w:rPr>
              <w:t>9</w:t>
            </w:r>
            <w:r>
              <w:rPr>
                <w:rFonts w:asciiTheme="minorHAnsi" w:eastAsiaTheme="minorEastAsia" w:hAnsiTheme="minorHAnsi" w:cstheme="minorBidi" w:hint="eastAsia"/>
                <w:sz w:val="18"/>
                <w:szCs w:val="18"/>
              </w:rPr>
              <w:t>分；若发生下列</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项不同的非诚信行为，</w:t>
            </w:r>
            <w:r>
              <w:rPr>
                <w:rFonts w:asciiTheme="minorHAnsi" w:eastAsiaTheme="minorEastAsia" w:hAnsiTheme="minorHAnsi" w:cstheme="minorBidi" w:hint="eastAsia"/>
                <w:sz w:val="18"/>
                <w:szCs w:val="18"/>
              </w:rPr>
              <w:t>2.3.2</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分；发生</w:t>
            </w:r>
            <w:r>
              <w:rPr>
                <w:rFonts w:asciiTheme="minorHAnsi" w:eastAsiaTheme="minorEastAsia" w:hAnsiTheme="minorHAnsi" w:cstheme="minorBidi" w:hint="eastAsia"/>
                <w:sz w:val="18"/>
                <w:szCs w:val="18"/>
              </w:rPr>
              <w:t>5</w:t>
            </w:r>
            <w:r>
              <w:rPr>
                <w:rFonts w:asciiTheme="minorHAnsi" w:eastAsiaTheme="minorEastAsia" w:hAnsiTheme="minorHAnsi" w:cstheme="minorBidi" w:hint="eastAsia"/>
                <w:sz w:val="18"/>
                <w:szCs w:val="18"/>
              </w:rPr>
              <w:t>项则</w:t>
            </w:r>
            <w:r>
              <w:rPr>
                <w:rFonts w:asciiTheme="minorHAnsi" w:eastAsiaTheme="minorEastAsia" w:hAnsiTheme="minorHAnsi" w:cstheme="minorBidi" w:hint="eastAsia"/>
                <w:sz w:val="18"/>
                <w:szCs w:val="18"/>
              </w:rPr>
              <w:t>2.3</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0C42AA03"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）未取得商品房预（销）售许可证，进行商品房销售；</w:t>
            </w:r>
          </w:p>
          <w:p w14:paraId="7480DAC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）未按规定使用商品房预售款项将预售款挪作他用；</w:t>
            </w:r>
          </w:p>
          <w:p w14:paraId="0E55EC2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）委托没有资格的中介机构代理销售；</w:t>
            </w:r>
          </w:p>
          <w:p w14:paraId="115117FE"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）预售已抵押的商品房，未通知抵押权人或未将抵押情况告知买受人；</w:t>
            </w:r>
          </w:p>
          <w:p w14:paraId="6F1228DD"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5</w:t>
            </w:r>
            <w:r>
              <w:rPr>
                <w:rFonts w:asciiTheme="minorHAnsi" w:eastAsiaTheme="minorEastAsia" w:hAnsiTheme="minorHAnsi" w:cstheme="minorBidi" w:hint="eastAsia"/>
                <w:sz w:val="18"/>
                <w:szCs w:val="18"/>
              </w:rPr>
              <w:t>）未按规定向买受人明示《商品房买卖合同示范文本》；</w:t>
            </w:r>
          </w:p>
          <w:p w14:paraId="26B68BF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6</w:t>
            </w:r>
            <w:r>
              <w:rPr>
                <w:rFonts w:asciiTheme="minorHAnsi" w:eastAsiaTheme="minorEastAsia" w:hAnsiTheme="minorHAnsi" w:cstheme="minorBidi" w:hint="eastAsia"/>
                <w:sz w:val="18"/>
                <w:szCs w:val="18"/>
              </w:rPr>
              <w:t>）未按照规定在商品房现售前将房地产开发项目手册及符合商品房现</w:t>
            </w:r>
            <w:proofErr w:type="gramStart"/>
            <w:r>
              <w:rPr>
                <w:rFonts w:asciiTheme="minorHAnsi" w:eastAsiaTheme="minorEastAsia" w:hAnsiTheme="minorHAnsi" w:cstheme="minorBidi" w:hint="eastAsia"/>
                <w:sz w:val="18"/>
                <w:szCs w:val="18"/>
              </w:rPr>
              <w:t>售条件</w:t>
            </w:r>
            <w:proofErr w:type="gramEnd"/>
            <w:r>
              <w:rPr>
                <w:rFonts w:asciiTheme="minorHAnsi" w:eastAsiaTheme="minorEastAsia" w:hAnsiTheme="minorHAnsi" w:cstheme="minorBidi" w:hint="eastAsia"/>
                <w:sz w:val="18"/>
                <w:szCs w:val="18"/>
              </w:rPr>
              <w:t>的有关证明文件报送房地产开发主管部门备案；</w:t>
            </w:r>
          </w:p>
          <w:p w14:paraId="442448F0"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7</w:t>
            </w:r>
            <w:r>
              <w:rPr>
                <w:rFonts w:asciiTheme="minorHAnsi" w:eastAsiaTheme="minorEastAsia" w:hAnsiTheme="minorHAnsi" w:cstheme="minorBidi" w:hint="eastAsia"/>
                <w:sz w:val="18"/>
                <w:szCs w:val="18"/>
              </w:rPr>
              <w:t>）采取售后包租或者变相售后包租方式销售未竣工商品房；</w:t>
            </w:r>
          </w:p>
          <w:p w14:paraId="3F0F0098"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8</w:t>
            </w:r>
            <w:r>
              <w:rPr>
                <w:rFonts w:asciiTheme="minorHAnsi" w:eastAsiaTheme="minorEastAsia" w:hAnsiTheme="minorHAnsi" w:cstheme="minorBidi" w:hint="eastAsia"/>
                <w:sz w:val="18"/>
                <w:szCs w:val="18"/>
              </w:rPr>
              <w:t>）经确认存在</w:t>
            </w:r>
            <w:proofErr w:type="gramStart"/>
            <w:r>
              <w:rPr>
                <w:rFonts w:asciiTheme="minorHAnsi" w:eastAsiaTheme="minorEastAsia" w:hAnsiTheme="minorHAnsi" w:cstheme="minorBidi" w:hint="eastAsia"/>
                <w:sz w:val="18"/>
                <w:szCs w:val="18"/>
              </w:rPr>
              <w:t>捂盘惜售</w:t>
            </w:r>
            <w:proofErr w:type="gramEnd"/>
            <w:r>
              <w:rPr>
                <w:rFonts w:asciiTheme="minorHAnsi" w:eastAsiaTheme="minorEastAsia" w:hAnsiTheme="minorHAnsi" w:cstheme="minorBidi" w:hint="eastAsia"/>
                <w:sz w:val="18"/>
                <w:szCs w:val="18"/>
              </w:rPr>
              <w:t>或者变相囤积房源行为；</w:t>
            </w:r>
          </w:p>
          <w:p w14:paraId="3D96A62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9</w:t>
            </w:r>
            <w:r>
              <w:rPr>
                <w:rFonts w:asciiTheme="minorHAnsi" w:eastAsiaTheme="minorEastAsia" w:hAnsiTheme="minorHAnsi" w:cstheme="minorBidi" w:hint="eastAsia"/>
                <w:sz w:val="18"/>
                <w:szCs w:val="18"/>
              </w:rPr>
              <w:t>）售房过程中雇佣人员冒充购房者制造紧张气氛的，或发布虚假供应或库存信息；</w:t>
            </w:r>
          </w:p>
          <w:p w14:paraId="57710553"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10</w:t>
            </w:r>
            <w:r>
              <w:rPr>
                <w:rFonts w:asciiTheme="minorHAnsi" w:eastAsiaTheme="minorEastAsia" w:hAnsiTheme="minorHAnsi" w:cstheme="minorBidi" w:hint="eastAsia"/>
                <w:sz w:val="18"/>
                <w:szCs w:val="18"/>
              </w:rPr>
              <w:t>）不符合商品房销售条件，以认购、预订、排号、发卡等方式向买受人收取或者变相收取定金、预订款等费用，借机抬高价格；</w:t>
            </w:r>
          </w:p>
          <w:p w14:paraId="25E63538"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11</w:t>
            </w:r>
            <w:r>
              <w:rPr>
                <w:rFonts w:asciiTheme="minorHAnsi" w:eastAsiaTheme="minorEastAsia" w:hAnsiTheme="minorHAnsi" w:cstheme="minorBidi" w:hint="eastAsia"/>
                <w:sz w:val="18"/>
                <w:szCs w:val="18"/>
              </w:rPr>
              <w:t>）通过捏造或者散布涨价信息等方式恶意炒作、哄抬房价；</w:t>
            </w:r>
          </w:p>
          <w:p w14:paraId="0B9466AF"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12</w:t>
            </w:r>
            <w:r>
              <w:rPr>
                <w:rFonts w:asciiTheme="minorHAnsi" w:eastAsiaTheme="minorEastAsia" w:hAnsiTheme="minorHAnsi" w:cstheme="minorBidi" w:hint="eastAsia"/>
                <w:sz w:val="18"/>
                <w:szCs w:val="18"/>
              </w:rPr>
              <w:t>）商品房销售不予明码标价，在标价之外加价出售房屋或者收取未标明的费用；</w:t>
            </w:r>
          </w:p>
          <w:p w14:paraId="57340A09"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13</w:t>
            </w:r>
            <w:r>
              <w:rPr>
                <w:rFonts w:asciiTheme="minorHAnsi" w:eastAsiaTheme="minorEastAsia" w:hAnsiTheme="minorHAnsi" w:cstheme="minorBidi" w:hint="eastAsia"/>
                <w:sz w:val="18"/>
                <w:szCs w:val="18"/>
              </w:rPr>
              <w:t>）以捆绑搭售或者附加条件等限定方式，迫使购房人接受商品或者服务价格；</w:t>
            </w:r>
          </w:p>
          <w:p w14:paraId="0271D989"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14</w:t>
            </w:r>
            <w:r>
              <w:rPr>
                <w:rFonts w:asciiTheme="minorHAnsi" w:eastAsiaTheme="minorEastAsia" w:hAnsiTheme="minorHAnsi" w:cstheme="minorBidi" w:hint="eastAsia"/>
                <w:sz w:val="18"/>
                <w:szCs w:val="18"/>
              </w:rPr>
              <w:t>）将已作为商品房销售合同标的物的商品房再销售给他人；</w:t>
            </w:r>
          </w:p>
          <w:p w14:paraId="64B2FD3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15</w:t>
            </w:r>
            <w:r>
              <w:rPr>
                <w:rFonts w:asciiTheme="minorHAnsi" w:eastAsiaTheme="minorEastAsia" w:hAnsiTheme="minorHAnsi" w:cstheme="minorBidi" w:hint="eastAsia"/>
                <w:sz w:val="18"/>
                <w:szCs w:val="18"/>
              </w:rPr>
              <w:t>）违反建筑面积测绘和计算规定，多计、侵占分摊面积。</w:t>
            </w:r>
          </w:p>
        </w:tc>
      </w:tr>
      <w:tr w:rsidR="0035415A" w14:paraId="007D6634"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098ED81E"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805A9A0"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C4937D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2.3.3</w:t>
            </w:r>
          </w:p>
          <w:p w14:paraId="3FF00F5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合同履约信用</w:t>
            </w:r>
          </w:p>
        </w:tc>
        <w:tc>
          <w:tcPr>
            <w:tcW w:w="854" w:type="dxa"/>
            <w:tcBorders>
              <w:top w:val="single" w:sz="4" w:space="0" w:color="auto"/>
              <w:left w:val="single" w:sz="4" w:space="0" w:color="auto"/>
              <w:bottom w:val="single" w:sz="4" w:space="0" w:color="auto"/>
              <w:right w:val="single" w:sz="4" w:space="0" w:color="auto"/>
            </w:tcBorders>
            <w:vAlign w:val="center"/>
          </w:tcPr>
          <w:p w14:paraId="77896D72"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6</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6E389D61"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评价企业与消费者签订合同及履约情况。企业是否严格按照合同履约；在合同履行过程中，企业是否存在有失公平、欺诈、甩项等</w:t>
            </w:r>
            <w:proofErr w:type="gramStart"/>
            <w:r>
              <w:rPr>
                <w:rFonts w:asciiTheme="minorHAnsi" w:eastAsiaTheme="minorEastAsia" w:hAnsiTheme="minorHAnsi" w:cstheme="minorBidi" w:hint="eastAsia"/>
                <w:sz w:val="18"/>
                <w:szCs w:val="18"/>
              </w:rPr>
              <w:t>不</w:t>
            </w:r>
            <w:proofErr w:type="gramEnd"/>
            <w:r>
              <w:rPr>
                <w:rFonts w:asciiTheme="minorHAnsi" w:eastAsiaTheme="minorEastAsia" w:hAnsiTheme="minorHAnsi" w:cstheme="minorBidi" w:hint="eastAsia"/>
                <w:sz w:val="18"/>
                <w:szCs w:val="18"/>
              </w:rPr>
              <w:t>诚信行为。</w:t>
            </w:r>
          </w:p>
        </w:tc>
        <w:tc>
          <w:tcPr>
            <w:tcW w:w="6055" w:type="dxa"/>
            <w:tcBorders>
              <w:top w:val="single" w:sz="4" w:space="0" w:color="auto"/>
              <w:left w:val="single" w:sz="4" w:space="0" w:color="auto"/>
              <w:bottom w:val="single" w:sz="4" w:space="0" w:color="auto"/>
              <w:right w:val="single" w:sz="8" w:space="0" w:color="auto"/>
            </w:tcBorders>
            <w:vAlign w:val="center"/>
          </w:tcPr>
          <w:p w14:paraId="0CFA92E5"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w:t>
            </w:r>
            <w:proofErr w:type="gramStart"/>
            <w:r>
              <w:rPr>
                <w:rFonts w:asciiTheme="minorHAnsi" w:eastAsiaTheme="minorEastAsia" w:hAnsiTheme="minorHAnsi" w:cstheme="minorBidi" w:hint="eastAsia"/>
                <w:sz w:val="18"/>
                <w:szCs w:val="18"/>
              </w:rPr>
              <w:t>每项目</w:t>
            </w:r>
            <w:proofErr w:type="gramEnd"/>
            <w:r>
              <w:rPr>
                <w:rFonts w:asciiTheme="minorHAnsi" w:eastAsiaTheme="minorEastAsia" w:hAnsiTheme="minorHAnsi" w:cstheme="minorBidi" w:hint="eastAsia"/>
                <w:sz w:val="18"/>
                <w:szCs w:val="18"/>
              </w:rPr>
              <w:t>在预售销售过程中，如出现下列情况，每项扣</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分，累计扣满</w:t>
            </w:r>
            <w:r>
              <w:rPr>
                <w:rFonts w:asciiTheme="minorHAnsi" w:eastAsiaTheme="minorEastAsia" w:hAnsiTheme="minorHAnsi" w:cstheme="minorBidi" w:hint="eastAsia"/>
                <w:sz w:val="18"/>
                <w:szCs w:val="18"/>
              </w:rPr>
              <w:t>6</w:t>
            </w:r>
            <w:r>
              <w:rPr>
                <w:rFonts w:asciiTheme="minorHAnsi" w:eastAsiaTheme="minorEastAsia" w:hAnsiTheme="minorHAnsi" w:cstheme="minorBidi" w:hint="eastAsia"/>
                <w:sz w:val="18"/>
                <w:szCs w:val="18"/>
              </w:rPr>
              <w:t>分，若发生下列</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项不同的非诚信行为，</w:t>
            </w:r>
            <w:r>
              <w:rPr>
                <w:rFonts w:asciiTheme="minorHAnsi" w:eastAsiaTheme="minorEastAsia" w:hAnsiTheme="minorHAnsi" w:cstheme="minorBidi" w:hint="eastAsia"/>
                <w:sz w:val="18"/>
                <w:szCs w:val="18"/>
              </w:rPr>
              <w:t>2.3.3</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分；发生下列</w:t>
            </w:r>
            <w:r>
              <w:rPr>
                <w:rFonts w:asciiTheme="minorHAnsi" w:eastAsiaTheme="minorEastAsia" w:hAnsiTheme="minorHAnsi" w:cstheme="minorBidi" w:hint="eastAsia"/>
                <w:sz w:val="18"/>
                <w:szCs w:val="18"/>
              </w:rPr>
              <w:t>6</w:t>
            </w:r>
            <w:r>
              <w:rPr>
                <w:rFonts w:asciiTheme="minorHAnsi" w:eastAsiaTheme="minorEastAsia" w:hAnsiTheme="minorHAnsi" w:cstheme="minorBidi" w:hint="eastAsia"/>
                <w:sz w:val="18"/>
                <w:szCs w:val="18"/>
              </w:rPr>
              <w:t>项不同行为或发生第</w:t>
            </w:r>
            <w:r>
              <w:rPr>
                <w:rFonts w:asciiTheme="minorHAnsi" w:eastAsiaTheme="minorEastAsia" w:hAnsiTheme="minorHAnsi" w:cstheme="minorBidi" w:hint="eastAsia"/>
                <w:sz w:val="18"/>
                <w:szCs w:val="18"/>
              </w:rPr>
              <w:t>(10)</w:t>
            </w:r>
            <w:r>
              <w:rPr>
                <w:rFonts w:asciiTheme="minorHAnsi" w:eastAsiaTheme="minorEastAsia" w:hAnsiTheme="minorHAnsi" w:cstheme="minorBidi" w:hint="eastAsia"/>
                <w:sz w:val="18"/>
                <w:szCs w:val="18"/>
              </w:rPr>
              <w:t>项，</w:t>
            </w:r>
            <w:r>
              <w:rPr>
                <w:rFonts w:asciiTheme="minorHAnsi" w:eastAsiaTheme="minorEastAsia" w:hAnsiTheme="minorHAnsi" w:cstheme="minorBidi" w:hint="eastAsia"/>
                <w:sz w:val="18"/>
                <w:szCs w:val="18"/>
              </w:rPr>
              <w:t>2.3</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03E20A0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）商品房买卖合同及补充约定显失公平；</w:t>
            </w:r>
          </w:p>
          <w:p w14:paraId="11A74FD0"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）签订商品房买卖合同及其补充协议时，未采取合理方式提请房屋买受人注意免除或者限制其责任的条款；</w:t>
            </w:r>
          </w:p>
          <w:p w14:paraId="5AADAAEA"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）未按规定办理商品房网上签约和预售登记备案；</w:t>
            </w:r>
          </w:p>
          <w:p w14:paraId="5382B05E"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）企业延迟交房，且不按合同支付买房人延迟交房补偿；</w:t>
            </w:r>
          </w:p>
          <w:p w14:paraId="57B4EC6D"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5</w:t>
            </w:r>
            <w:r>
              <w:rPr>
                <w:rFonts w:asciiTheme="minorHAnsi" w:eastAsiaTheme="minorEastAsia" w:hAnsiTheme="minorHAnsi" w:cstheme="minorBidi" w:hint="eastAsia"/>
                <w:sz w:val="18"/>
                <w:szCs w:val="18"/>
              </w:rPr>
              <w:t>）企业延迟为买受人办理房屋所有权证书，且不按合同支付买房人延</w:t>
            </w:r>
            <w:proofErr w:type="gramStart"/>
            <w:r>
              <w:rPr>
                <w:rFonts w:asciiTheme="minorHAnsi" w:eastAsiaTheme="minorEastAsia" w:hAnsiTheme="minorHAnsi" w:cstheme="minorBidi" w:hint="eastAsia"/>
                <w:sz w:val="18"/>
                <w:szCs w:val="18"/>
              </w:rPr>
              <w:t>持办理</w:t>
            </w:r>
            <w:proofErr w:type="gramEnd"/>
            <w:r>
              <w:rPr>
                <w:rFonts w:asciiTheme="minorHAnsi" w:eastAsiaTheme="minorEastAsia" w:hAnsiTheme="minorHAnsi" w:cstheme="minorBidi" w:hint="eastAsia"/>
                <w:sz w:val="18"/>
                <w:szCs w:val="18"/>
              </w:rPr>
              <w:t>房地产产权证补偿；</w:t>
            </w:r>
          </w:p>
          <w:p w14:paraId="52DEE91D"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6</w:t>
            </w:r>
            <w:r>
              <w:rPr>
                <w:rFonts w:asciiTheme="minorHAnsi" w:eastAsiaTheme="minorEastAsia" w:hAnsiTheme="minorHAnsi" w:cstheme="minorBidi" w:hint="eastAsia"/>
                <w:sz w:val="18"/>
                <w:szCs w:val="18"/>
              </w:rPr>
              <w:t>）交付物业时，项目有甩项，或仍使用临时水电、或住宅区配套设施不具备交付使用条件；</w:t>
            </w:r>
          </w:p>
          <w:p w14:paraId="4CA1DD5E"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7</w:t>
            </w:r>
            <w:r>
              <w:rPr>
                <w:rFonts w:asciiTheme="minorHAnsi" w:eastAsiaTheme="minorEastAsia" w:hAnsiTheme="minorHAnsi" w:cstheme="minorBidi" w:hint="eastAsia"/>
                <w:sz w:val="18"/>
                <w:szCs w:val="18"/>
              </w:rPr>
              <w:t>）未经房屋竣工验收或验收不合格，擅自将房屋交付使用；</w:t>
            </w:r>
          </w:p>
          <w:p w14:paraId="78B64533"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8</w:t>
            </w:r>
            <w:r>
              <w:rPr>
                <w:rFonts w:asciiTheme="minorHAnsi" w:eastAsiaTheme="minorEastAsia" w:hAnsiTheme="minorHAnsi" w:cstheme="minorBidi" w:hint="eastAsia"/>
                <w:sz w:val="18"/>
                <w:szCs w:val="18"/>
              </w:rPr>
              <w:t>）在交付住宅物业时，拒不交付《住宅质量保证书》和《住宅使用说明书》；</w:t>
            </w:r>
          </w:p>
          <w:p w14:paraId="03899E82"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9</w:t>
            </w:r>
            <w:r>
              <w:rPr>
                <w:rFonts w:asciiTheme="minorHAnsi" w:eastAsiaTheme="minorEastAsia" w:hAnsiTheme="minorHAnsi" w:cstheme="minorBidi" w:hint="eastAsia"/>
                <w:sz w:val="18"/>
                <w:szCs w:val="18"/>
              </w:rPr>
              <w:t>）未按规定及时缴存房屋专项维修资金；</w:t>
            </w:r>
          </w:p>
          <w:p w14:paraId="519280C5"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10</w:t>
            </w:r>
            <w:r>
              <w:rPr>
                <w:rFonts w:asciiTheme="minorHAnsi" w:eastAsiaTheme="minorEastAsia" w:hAnsiTheme="minorHAnsi" w:cstheme="minorBidi" w:hint="eastAsia"/>
                <w:sz w:val="18"/>
                <w:szCs w:val="18"/>
              </w:rPr>
              <w:t>）擅自挪用住房专项维修资金；</w:t>
            </w:r>
          </w:p>
          <w:p w14:paraId="7C62F17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11</w:t>
            </w:r>
            <w:r>
              <w:rPr>
                <w:rFonts w:asciiTheme="minorHAnsi" w:eastAsiaTheme="minorEastAsia" w:hAnsiTheme="minorHAnsi" w:cstheme="minorBidi" w:hint="eastAsia"/>
                <w:sz w:val="18"/>
                <w:szCs w:val="18"/>
              </w:rPr>
              <w:t>）未按规定承担房屋建筑工程质量保修责任；</w:t>
            </w:r>
          </w:p>
          <w:p w14:paraId="7AD62B48"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12</w:t>
            </w:r>
            <w:r>
              <w:rPr>
                <w:rFonts w:asciiTheme="minorHAnsi" w:eastAsiaTheme="minorEastAsia" w:hAnsiTheme="minorHAnsi" w:cstheme="minorBidi" w:hint="eastAsia"/>
                <w:sz w:val="18"/>
                <w:szCs w:val="18"/>
              </w:rPr>
              <w:t>）商品房交付后，经工程质量监督单位复核属实的质量问题，不予妥善处理；</w:t>
            </w:r>
          </w:p>
          <w:p w14:paraId="05476D42"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13</w:t>
            </w:r>
            <w:r>
              <w:rPr>
                <w:rFonts w:asciiTheme="minorHAnsi" w:eastAsiaTheme="minorEastAsia" w:hAnsiTheme="minorHAnsi" w:cstheme="minorBidi" w:hint="eastAsia"/>
                <w:sz w:val="18"/>
                <w:szCs w:val="18"/>
              </w:rPr>
              <w:t>）交付物业时，</w:t>
            </w:r>
            <w:proofErr w:type="gramStart"/>
            <w:r>
              <w:rPr>
                <w:rFonts w:asciiTheme="minorHAnsi" w:eastAsiaTheme="minorEastAsia" w:hAnsiTheme="minorHAnsi" w:cstheme="minorBidi" w:hint="eastAsia"/>
                <w:sz w:val="18"/>
                <w:szCs w:val="18"/>
              </w:rPr>
              <w:t>项目标的物实际</w:t>
            </w:r>
            <w:proofErr w:type="gramEnd"/>
            <w:r>
              <w:rPr>
                <w:rFonts w:asciiTheme="minorHAnsi" w:eastAsiaTheme="minorEastAsia" w:hAnsiTheme="minorHAnsi" w:cstheme="minorBidi" w:hint="eastAsia"/>
                <w:sz w:val="18"/>
                <w:szCs w:val="18"/>
              </w:rPr>
              <w:t>与原设计不符，或与销售时承诺项不符；</w:t>
            </w:r>
          </w:p>
          <w:p w14:paraId="20373972"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14</w:t>
            </w:r>
            <w:r>
              <w:rPr>
                <w:rFonts w:asciiTheme="minorHAnsi" w:eastAsiaTheme="minorEastAsia" w:hAnsiTheme="minorHAnsi" w:cstheme="minorBidi" w:hint="eastAsia"/>
                <w:sz w:val="18"/>
                <w:szCs w:val="18"/>
              </w:rPr>
              <w:t>）房产地下</w:t>
            </w:r>
            <w:proofErr w:type="gramStart"/>
            <w:r>
              <w:rPr>
                <w:rFonts w:asciiTheme="minorHAnsi" w:eastAsiaTheme="minorEastAsia" w:hAnsiTheme="minorHAnsi" w:cstheme="minorBidi" w:hint="eastAsia"/>
                <w:sz w:val="18"/>
                <w:szCs w:val="18"/>
              </w:rPr>
              <w:t>车位只</w:t>
            </w:r>
            <w:proofErr w:type="gramEnd"/>
            <w:r>
              <w:rPr>
                <w:rFonts w:asciiTheme="minorHAnsi" w:eastAsiaTheme="minorEastAsia" w:hAnsiTheme="minorHAnsi" w:cstheme="minorBidi" w:hint="eastAsia"/>
                <w:sz w:val="18"/>
                <w:szCs w:val="18"/>
              </w:rPr>
              <w:t>售不租的或变相只售不租（故意提高租赁价格的）行为，导致小区车辆管理难，影响小区公共秩序；</w:t>
            </w:r>
          </w:p>
          <w:p w14:paraId="01A3944C"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15</w:t>
            </w:r>
            <w:r>
              <w:rPr>
                <w:rFonts w:asciiTheme="minorHAnsi" w:eastAsiaTheme="minorEastAsia" w:hAnsiTheme="minorHAnsi" w:cstheme="minorBidi" w:hint="eastAsia"/>
                <w:sz w:val="18"/>
                <w:szCs w:val="18"/>
              </w:rPr>
              <w:t>）为提高售房率进行虚假宣传或承诺业主后期部分违章搭建的处理；</w:t>
            </w:r>
          </w:p>
          <w:p w14:paraId="7B7CDED4"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16</w:t>
            </w:r>
            <w:r>
              <w:rPr>
                <w:rFonts w:asciiTheme="minorHAnsi" w:eastAsiaTheme="minorEastAsia" w:hAnsiTheme="minorHAnsi" w:cstheme="minorBidi" w:hint="eastAsia"/>
                <w:sz w:val="18"/>
                <w:szCs w:val="18"/>
              </w:rPr>
              <w:t>）由于设计缺陷导致安全隐患，发现后拒不整改。</w:t>
            </w:r>
          </w:p>
        </w:tc>
      </w:tr>
      <w:tr w:rsidR="0035415A" w14:paraId="37E2112F"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65C68938"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0C8B0942"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CEED4BC"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2.3.4</w:t>
            </w:r>
          </w:p>
          <w:p w14:paraId="01640D23"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租赁履约信用</w:t>
            </w:r>
          </w:p>
        </w:tc>
        <w:tc>
          <w:tcPr>
            <w:tcW w:w="854" w:type="dxa"/>
            <w:tcBorders>
              <w:top w:val="single" w:sz="4" w:space="0" w:color="auto"/>
              <w:left w:val="single" w:sz="4" w:space="0" w:color="auto"/>
              <w:bottom w:val="single" w:sz="4" w:space="0" w:color="auto"/>
              <w:right w:val="single" w:sz="4" w:space="0" w:color="auto"/>
            </w:tcBorders>
            <w:vAlign w:val="center"/>
          </w:tcPr>
          <w:p w14:paraId="7658AD36"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w:t>
            </w:r>
            <w:r>
              <w:rPr>
                <w:rFonts w:asciiTheme="minorHAnsi" w:eastAsiaTheme="minorEastAsia" w:hAnsiTheme="minorHAnsi" w:cstheme="minorBidi"/>
                <w:sz w:val="18"/>
                <w:szCs w:val="18"/>
              </w:rPr>
              <w:t>5</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42F9E4FB"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评价企业租赁商品房的信用情况。是否按照相关程序合法合</w:t>
            </w:r>
            <w:proofErr w:type="gramStart"/>
            <w:r>
              <w:rPr>
                <w:rFonts w:asciiTheme="minorHAnsi" w:eastAsiaTheme="minorEastAsia" w:hAnsiTheme="minorHAnsi" w:cstheme="minorBidi" w:hint="eastAsia"/>
                <w:sz w:val="18"/>
                <w:szCs w:val="18"/>
              </w:rPr>
              <w:t>规</w:t>
            </w:r>
            <w:proofErr w:type="gramEnd"/>
            <w:r>
              <w:rPr>
                <w:rFonts w:asciiTheme="minorHAnsi" w:eastAsiaTheme="minorEastAsia" w:hAnsiTheme="minorHAnsi" w:cstheme="minorBidi" w:hint="eastAsia"/>
                <w:sz w:val="18"/>
                <w:szCs w:val="18"/>
              </w:rPr>
              <w:t>租赁，有无欺诈、误导消费者行为。</w:t>
            </w:r>
          </w:p>
        </w:tc>
        <w:tc>
          <w:tcPr>
            <w:tcW w:w="6055" w:type="dxa"/>
            <w:tcBorders>
              <w:top w:val="single" w:sz="4" w:space="0" w:color="auto"/>
              <w:left w:val="single" w:sz="4" w:space="0" w:color="auto"/>
              <w:bottom w:val="single" w:sz="4" w:space="0" w:color="auto"/>
              <w:right w:val="single" w:sz="8" w:space="0" w:color="auto"/>
            </w:tcBorders>
            <w:vAlign w:val="center"/>
          </w:tcPr>
          <w:p w14:paraId="07D25A03"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w:t>
            </w:r>
            <w:proofErr w:type="gramStart"/>
            <w:r>
              <w:rPr>
                <w:rFonts w:asciiTheme="minorHAnsi" w:eastAsiaTheme="minorEastAsia" w:hAnsiTheme="minorHAnsi" w:cstheme="minorBidi" w:hint="eastAsia"/>
                <w:sz w:val="18"/>
                <w:szCs w:val="18"/>
              </w:rPr>
              <w:t>每项目</w:t>
            </w:r>
            <w:proofErr w:type="gramEnd"/>
            <w:r>
              <w:rPr>
                <w:rFonts w:asciiTheme="minorHAnsi" w:eastAsiaTheme="minorEastAsia" w:hAnsiTheme="minorHAnsi" w:cstheme="minorBidi" w:hint="eastAsia"/>
                <w:sz w:val="18"/>
                <w:szCs w:val="18"/>
              </w:rPr>
              <w:t>在租赁过程中，如出现下列情况，每项扣</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分，若发生下列</w:t>
            </w:r>
            <w:r>
              <w:rPr>
                <w:rFonts w:asciiTheme="minorHAnsi" w:eastAsiaTheme="minorEastAsia" w:hAnsiTheme="minorHAnsi" w:cstheme="minorBidi" w:hint="eastAsia"/>
                <w:sz w:val="18"/>
                <w:szCs w:val="18"/>
              </w:rPr>
              <w:t>5</w:t>
            </w:r>
            <w:r>
              <w:rPr>
                <w:rFonts w:asciiTheme="minorHAnsi" w:eastAsiaTheme="minorEastAsia" w:hAnsiTheme="minorHAnsi" w:cstheme="minorBidi" w:hint="eastAsia"/>
                <w:sz w:val="18"/>
                <w:szCs w:val="18"/>
              </w:rPr>
              <w:t>项不同的非诚信行为，</w:t>
            </w:r>
            <w:r>
              <w:rPr>
                <w:rFonts w:asciiTheme="minorHAnsi" w:eastAsiaTheme="minorEastAsia" w:hAnsiTheme="minorHAnsi" w:cstheme="minorBidi" w:hint="eastAsia"/>
                <w:sz w:val="18"/>
                <w:szCs w:val="18"/>
              </w:rPr>
              <w:t>2.3.4</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分；发生</w:t>
            </w:r>
            <w:r>
              <w:rPr>
                <w:rFonts w:asciiTheme="minorHAnsi" w:eastAsiaTheme="minorEastAsia" w:hAnsiTheme="minorHAnsi" w:cstheme="minorBidi" w:hint="eastAsia"/>
                <w:sz w:val="18"/>
                <w:szCs w:val="18"/>
              </w:rPr>
              <w:t>8</w:t>
            </w:r>
            <w:r>
              <w:rPr>
                <w:rFonts w:asciiTheme="minorHAnsi" w:eastAsiaTheme="minorEastAsia" w:hAnsiTheme="minorHAnsi" w:cstheme="minorBidi" w:hint="eastAsia"/>
                <w:sz w:val="18"/>
                <w:szCs w:val="18"/>
              </w:rPr>
              <w:t>项则</w:t>
            </w:r>
            <w:r>
              <w:rPr>
                <w:rFonts w:asciiTheme="minorHAnsi" w:eastAsiaTheme="minorEastAsia" w:hAnsiTheme="minorHAnsi" w:cstheme="minorBidi" w:hint="eastAsia"/>
                <w:sz w:val="18"/>
                <w:szCs w:val="18"/>
              </w:rPr>
              <w:t>2.3</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2BD3DCFD"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）出租违法建筑或不符合安全、防灾等工程建设强制性标准的物业项目；</w:t>
            </w:r>
          </w:p>
          <w:p w14:paraId="79D19CB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）违反规定改变房屋使用性质；</w:t>
            </w:r>
          </w:p>
          <w:p w14:paraId="79760B44"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）未签属书面租赁合同；</w:t>
            </w:r>
          </w:p>
          <w:p w14:paraId="409B3A65"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）租赁合同及补充约定显失公平；</w:t>
            </w:r>
          </w:p>
          <w:p w14:paraId="1E1C16ED"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5</w:t>
            </w:r>
            <w:r>
              <w:rPr>
                <w:rFonts w:asciiTheme="minorHAnsi" w:eastAsiaTheme="minorEastAsia" w:hAnsiTheme="minorHAnsi" w:cstheme="minorBidi" w:hint="eastAsia"/>
                <w:sz w:val="18"/>
                <w:szCs w:val="18"/>
              </w:rPr>
              <w:t>）延迟交房，且不按合同支付买房人延迟交房补偿；</w:t>
            </w:r>
          </w:p>
          <w:p w14:paraId="36A83A98"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6</w:t>
            </w:r>
            <w:r>
              <w:rPr>
                <w:rFonts w:asciiTheme="minorHAnsi" w:eastAsiaTheme="minorEastAsia" w:hAnsiTheme="minorHAnsi" w:cstheme="minorBidi" w:hint="eastAsia"/>
                <w:sz w:val="18"/>
                <w:szCs w:val="18"/>
              </w:rPr>
              <w:t>）未按规定办理房屋租赁登记备案；</w:t>
            </w:r>
          </w:p>
          <w:p w14:paraId="6EDCB168"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7</w:t>
            </w:r>
            <w:r>
              <w:rPr>
                <w:rFonts w:asciiTheme="minorHAnsi" w:eastAsiaTheme="minorEastAsia" w:hAnsiTheme="minorHAnsi" w:cstheme="minorBidi" w:hint="eastAsia"/>
                <w:sz w:val="18"/>
                <w:szCs w:val="18"/>
              </w:rPr>
              <w:t>）登记备案隐瞒真实情况或者提供虚假材料；</w:t>
            </w:r>
          </w:p>
          <w:p w14:paraId="238EDAF8"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8</w:t>
            </w:r>
            <w:r>
              <w:rPr>
                <w:rFonts w:asciiTheme="minorHAnsi" w:eastAsiaTheme="minorEastAsia" w:hAnsiTheme="minorHAnsi" w:cstheme="minorBidi" w:hint="eastAsia"/>
                <w:sz w:val="18"/>
                <w:szCs w:val="18"/>
              </w:rPr>
              <w:t>）商品房租赁后</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又将其抵押、转让等</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未提前通知承租人；</w:t>
            </w:r>
          </w:p>
          <w:p w14:paraId="3A731D0F"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9</w:t>
            </w:r>
            <w:r>
              <w:rPr>
                <w:rFonts w:asciiTheme="minorHAnsi" w:eastAsiaTheme="minorEastAsia" w:hAnsiTheme="minorHAnsi" w:cstheme="minorBidi" w:hint="eastAsia"/>
                <w:sz w:val="18"/>
                <w:szCs w:val="18"/>
              </w:rPr>
              <w:t>）租赁合同期内，出租人单方面随意提高租金水平，发生承租人投诉、举报或诉讼；</w:t>
            </w:r>
          </w:p>
          <w:p w14:paraId="6D2E8E6E"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10</w:t>
            </w:r>
            <w:r>
              <w:rPr>
                <w:rFonts w:asciiTheme="minorHAnsi" w:eastAsiaTheme="minorEastAsia" w:hAnsiTheme="minorHAnsi" w:cstheme="minorBidi" w:hint="eastAsia"/>
                <w:sz w:val="18"/>
                <w:szCs w:val="18"/>
              </w:rPr>
              <w:t>）出租人未按照合同约定履行房屋的维修义务并确保房屋和室内设施安全；</w:t>
            </w:r>
          </w:p>
          <w:p w14:paraId="2E1B04D4"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11</w:t>
            </w:r>
            <w:r>
              <w:rPr>
                <w:rFonts w:asciiTheme="minorHAnsi" w:eastAsiaTheme="minorEastAsia" w:hAnsiTheme="minorHAnsi" w:cstheme="minorBidi" w:hint="eastAsia"/>
                <w:sz w:val="18"/>
                <w:szCs w:val="18"/>
              </w:rPr>
              <w:t>）未以原设计的房间为最小出租单位；</w:t>
            </w:r>
          </w:p>
          <w:p w14:paraId="5D94FE0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12</w:t>
            </w:r>
            <w:r>
              <w:rPr>
                <w:rFonts w:asciiTheme="minorHAnsi" w:eastAsiaTheme="minorEastAsia" w:hAnsiTheme="minorHAnsi" w:cstheme="minorBidi" w:hint="eastAsia"/>
                <w:sz w:val="18"/>
                <w:szCs w:val="18"/>
              </w:rPr>
              <w:t>）租赁过程中雇佣人员冒充购房者制造紧张气氛，布虚假供应或库存信息。</w:t>
            </w:r>
          </w:p>
        </w:tc>
      </w:tr>
      <w:tr w:rsidR="0035415A" w14:paraId="1FD4F010"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76BA0C37" w14:textId="77777777" w:rsidR="0035415A" w:rsidRDefault="0035415A">
            <w:pPr>
              <w:jc w:val="center"/>
              <w:rPr>
                <w:rFonts w:asciiTheme="minorHAnsi" w:eastAsiaTheme="minorEastAsia" w:hAnsiTheme="minorHAnsi" w:cstheme="minorBidi"/>
                <w:sz w:val="18"/>
                <w:szCs w:val="18"/>
              </w:rPr>
            </w:pPr>
          </w:p>
        </w:tc>
        <w:tc>
          <w:tcPr>
            <w:tcW w:w="13951" w:type="dxa"/>
            <w:gridSpan w:val="5"/>
            <w:tcBorders>
              <w:top w:val="single" w:sz="4" w:space="0" w:color="auto"/>
              <w:left w:val="single" w:sz="4" w:space="0" w:color="auto"/>
              <w:bottom w:val="single" w:sz="4" w:space="0" w:color="auto"/>
              <w:right w:val="single" w:sz="8" w:space="0" w:color="auto"/>
            </w:tcBorders>
            <w:vAlign w:val="center"/>
          </w:tcPr>
          <w:p w14:paraId="5A739982"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注：</w:t>
            </w:r>
            <w:proofErr w:type="gramStart"/>
            <w:r>
              <w:rPr>
                <w:rFonts w:asciiTheme="minorHAnsi" w:eastAsiaTheme="minorEastAsia" w:hAnsiTheme="minorHAnsi" w:cstheme="minorBidi" w:hint="eastAsia"/>
                <w:sz w:val="18"/>
                <w:szCs w:val="18"/>
              </w:rPr>
              <w:t>若参</w:t>
            </w:r>
            <w:proofErr w:type="gramEnd"/>
            <w:r>
              <w:rPr>
                <w:rFonts w:asciiTheme="minorHAnsi" w:eastAsiaTheme="minorEastAsia" w:hAnsiTheme="minorHAnsi" w:cstheme="minorBidi" w:hint="eastAsia"/>
                <w:sz w:val="18"/>
                <w:szCs w:val="18"/>
              </w:rPr>
              <w:t>评企业商品房全部</w:t>
            </w:r>
            <w:proofErr w:type="gramStart"/>
            <w:r>
              <w:rPr>
                <w:rFonts w:asciiTheme="minorHAnsi" w:eastAsiaTheme="minorEastAsia" w:hAnsiTheme="minorHAnsi" w:cstheme="minorBidi" w:hint="eastAsia"/>
                <w:sz w:val="18"/>
                <w:szCs w:val="18"/>
              </w:rPr>
              <w:t>出售按</w:t>
            </w:r>
            <w:proofErr w:type="gramEnd"/>
            <w:r>
              <w:rPr>
                <w:rFonts w:asciiTheme="minorHAnsi" w:eastAsiaTheme="minorEastAsia" w:hAnsiTheme="minorHAnsi" w:cstheme="minorBidi" w:hint="eastAsia"/>
                <w:sz w:val="18"/>
                <w:szCs w:val="18"/>
              </w:rPr>
              <w:t>2.3.2</w:t>
            </w:r>
            <w:r>
              <w:rPr>
                <w:rFonts w:asciiTheme="minorHAnsi" w:eastAsiaTheme="minorEastAsia" w:hAnsiTheme="minorHAnsi" w:cstheme="minorBidi" w:hint="eastAsia"/>
                <w:sz w:val="18"/>
                <w:szCs w:val="18"/>
              </w:rPr>
              <w:t>和</w:t>
            </w:r>
            <w:r>
              <w:rPr>
                <w:rFonts w:asciiTheme="minorHAnsi" w:eastAsiaTheme="minorEastAsia" w:hAnsiTheme="minorHAnsi" w:cstheme="minorBidi" w:hint="eastAsia"/>
                <w:sz w:val="18"/>
                <w:szCs w:val="18"/>
              </w:rPr>
              <w:t>2.3.3</w:t>
            </w:r>
            <w:r>
              <w:rPr>
                <w:rFonts w:asciiTheme="minorHAnsi" w:eastAsiaTheme="minorEastAsia" w:hAnsiTheme="minorHAnsi" w:cstheme="minorBidi" w:hint="eastAsia"/>
                <w:sz w:val="18"/>
                <w:szCs w:val="18"/>
              </w:rPr>
              <w:t>评价；若全部租赁按</w:t>
            </w:r>
            <w:r>
              <w:rPr>
                <w:rFonts w:asciiTheme="minorHAnsi" w:eastAsiaTheme="minorEastAsia" w:hAnsiTheme="minorHAnsi" w:cstheme="minorBidi" w:hint="eastAsia"/>
                <w:sz w:val="18"/>
                <w:szCs w:val="18"/>
              </w:rPr>
              <w:t>2.3.4</w:t>
            </w:r>
            <w:r>
              <w:rPr>
                <w:rFonts w:asciiTheme="minorHAnsi" w:eastAsiaTheme="minorEastAsia" w:hAnsiTheme="minorHAnsi" w:cstheme="minorBidi" w:hint="eastAsia"/>
                <w:sz w:val="18"/>
                <w:szCs w:val="18"/>
              </w:rPr>
              <w:t>评价；若租售情况同时存在，按当期合理的租售比值综合确定分值。</w:t>
            </w:r>
          </w:p>
        </w:tc>
      </w:tr>
      <w:tr w:rsidR="0035415A" w14:paraId="2E965EAC"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470A5580" w14:textId="77777777" w:rsidR="0035415A" w:rsidRDefault="0035415A">
            <w:pPr>
              <w:jc w:val="center"/>
              <w:rPr>
                <w:rFonts w:asciiTheme="minorHAnsi" w:eastAsiaTheme="minorEastAsia" w:hAnsiTheme="minorHAnsi" w:cstheme="minorBidi"/>
                <w:sz w:val="18"/>
                <w:szCs w:val="18"/>
              </w:rPr>
            </w:pPr>
          </w:p>
        </w:tc>
        <w:tc>
          <w:tcPr>
            <w:tcW w:w="1376" w:type="dxa"/>
            <w:tcBorders>
              <w:top w:val="single" w:sz="4" w:space="0" w:color="auto"/>
              <w:left w:val="single" w:sz="4" w:space="0" w:color="auto"/>
              <w:bottom w:val="single" w:sz="8" w:space="0" w:color="auto"/>
              <w:right w:val="single" w:sz="4" w:space="0" w:color="auto"/>
            </w:tcBorders>
            <w:vAlign w:val="center"/>
          </w:tcPr>
          <w:p w14:paraId="727EF879"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2.4</w:t>
            </w:r>
          </w:p>
          <w:p w14:paraId="0C0F262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企业前期物业信用</w:t>
            </w:r>
          </w:p>
          <w:p w14:paraId="3C378B19"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7</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8" w:space="0" w:color="auto"/>
              <w:right w:val="single" w:sz="4" w:space="0" w:color="auto"/>
            </w:tcBorders>
            <w:vAlign w:val="center"/>
          </w:tcPr>
          <w:p w14:paraId="39E00B42"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2</w:t>
            </w:r>
            <w:r>
              <w:rPr>
                <w:rFonts w:asciiTheme="minorHAnsi" w:eastAsiaTheme="minorEastAsia" w:hAnsiTheme="minorHAnsi" w:cstheme="minorBidi"/>
                <w:sz w:val="18"/>
                <w:szCs w:val="18"/>
              </w:rPr>
              <w:t>.4.1</w:t>
            </w:r>
          </w:p>
          <w:p w14:paraId="631CC043"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前期物业管理信用</w:t>
            </w:r>
          </w:p>
        </w:tc>
        <w:tc>
          <w:tcPr>
            <w:tcW w:w="854" w:type="dxa"/>
            <w:tcBorders>
              <w:top w:val="single" w:sz="4" w:space="0" w:color="auto"/>
              <w:left w:val="single" w:sz="4" w:space="0" w:color="auto"/>
              <w:bottom w:val="single" w:sz="8" w:space="0" w:color="auto"/>
              <w:right w:val="single" w:sz="4" w:space="0" w:color="auto"/>
            </w:tcBorders>
            <w:vAlign w:val="center"/>
          </w:tcPr>
          <w:p w14:paraId="6108A9A6"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7</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8" w:space="0" w:color="auto"/>
              <w:right w:val="single" w:sz="4" w:space="0" w:color="auto"/>
            </w:tcBorders>
            <w:vAlign w:val="center"/>
          </w:tcPr>
          <w:p w14:paraId="246120F2"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评价企业在前期物业管理中，是否按有关规定履行相应责任。</w:t>
            </w:r>
          </w:p>
        </w:tc>
        <w:tc>
          <w:tcPr>
            <w:tcW w:w="6055" w:type="dxa"/>
            <w:tcBorders>
              <w:top w:val="single" w:sz="4" w:space="0" w:color="auto"/>
              <w:left w:val="single" w:sz="4" w:space="0" w:color="auto"/>
              <w:bottom w:val="single" w:sz="8" w:space="0" w:color="auto"/>
              <w:right w:val="single" w:sz="8" w:space="0" w:color="auto"/>
            </w:tcBorders>
            <w:vAlign w:val="center"/>
          </w:tcPr>
          <w:p w14:paraId="3D399D03"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w:t>
            </w:r>
            <w:proofErr w:type="gramStart"/>
            <w:r>
              <w:rPr>
                <w:rFonts w:asciiTheme="minorHAnsi" w:eastAsiaTheme="minorEastAsia" w:hAnsiTheme="minorHAnsi" w:cstheme="minorBidi" w:hint="eastAsia"/>
                <w:sz w:val="18"/>
                <w:szCs w:val="18"/>
              </w:rPr>
              <w:t>每项目</w:t>
            </w:r>
            <w:proofErr w:type="gramEnd"/>
            <w:r>
              <w:rPr>
                <w:rFonts w:asciiTheme="minorHAnsi" w:eastAsiaTheme="minorEastAsia" w:hAnsiTheme="minorHAnsi" w:cstheme="minorBidi" w:hint="eastAsia"/>
                <w:sz w:val="18"/>
                <w:szCs w:val="18"/>
              </w:rPr>
              <w:t>在前期物业管理过程中，出现下列情况，每项扣</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分，累计扣满</w:t>
            </w:r>
            <w:r>
              <w:rPr>
                <w:rFonts w:asciiTheme="minorHAnsi" w:eastAsiaTheme="minorEastAsia" w:hAnsiTheme="minorHAnsi" w:cstheme="minorBidi" w:hint="eastAsia"/>
                <w:sz w:val="18"/>
                <w:szCs w:val="18"/>
              </w:rPr>
              <w:t>7</w:t>
            </w:r>
            <w:r>
              <w:rPr>
                <w:rFonts w:asciiTheme="minorHAnsi" w:eastAsiaTheme="minorEastAsia" w:hAnsiTheme="minorHAnsi" w:cstheme="minorBidi" w:hint="eastAsia"/>
                <w:sz w:val="18"/>
                <w:szCs w:val="18"/>
              </w:rPr>
              <w:t>分，若发生下列</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项行为，</w:t>
            </w:r>
            <w:r>
              <w:rPr>
                <w:rFonts w:asciiTheme="minorHAnsi" w:eastAsiaTheme="minorEastAsia" w:hAnsiTheme="minorHAnsi" w:cstheme="minorBidi" w:hint="eastAsia"/>
                <w:sz w:val="18"/>
                <w:szCs w:val="18"/>
              </w:rPr>
              <w:t>2.4</w:t>
            </w:r>
            <w:r>
              <w:rPr>
                <w:rFonts w:asciiTheme="minorHAnsi" w:eastAsiaTheme="minorEastAsia" w:hAnsiTheme="minorHAnsi" w:cstheme="minorBidi" w:hint="eastAsia"/>
                <w:sz w:val="18"/>
                <w:szCs w:val="18"/>
              </w:rPr>
              <w:t>项得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66493F4C"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）未按规定在取得商品房销售许可证之前，选聘前期物业服务企业并签订前期物业服务合同；</w:t>
            </w:r>
          </w:p>
          <w:p w14:paraId="230E4431"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）未按规定办理招标手续选聘前期物业服务企业；</w:t>
            </w:r>
          </w:p>
          <w:p w14:paraId="755ACFC2"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）在与</w:t>
            </w:r>
            <w:proofErr w:type="gramStart"/>
            <w:r>
              <w:rPr>
                <w:rFonts w:asciiTheme="minorHAnsi" w:eastAsiaTheme="minorEastAsia" w:hAnsiTheme="minorHAnsi" w:cstheme="minorBidi" w:hint="eastAsia"/>
                <w:sz w:val="18"/>
                <w:szCs w:val="18"/>
              </w:rPr>
              <w:t>物业买</w:t>
            </w:r>
            <w:proofErr w:type="gramEnd"/>
            <w:r>
              <w:rPr>
                <w:rFonts w:asciiTheme="minorHAnsi" w:eastAsiaTheme="minorEastAsia" w:hAnsiTheme="minorHAnsi" w:cstheme="minorBidi" w:hint="eastAsia"/>
                <w:sz w:val="18"/>
                <w:szCs w:val="18"/>
              </w:rPr>
              <w:t>受人签订的房屋买卖合同中未包含前期物业服务合同约定的主要内容；</w:t>
            </w:r>
          </w:p>
          <w:p w14:paraId="37E13C04"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）未按规定配置物业管理用房；</w:t>
            </w:r>
          </w:p>
          <w:p w14:paraId="56C826B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5</w:t>
            </w:r>
            <w:r>
              <w:rPr>
                <w:rFonts w:asciiTheme="minorHAnsi" w:eastAsiaTheme="minorEastAsia" w:hAnsiTheme="minorHAnsi" w:cstheme="minorBidi" w:hint="eastAsia"/>
                <w:sz w:val="18"/>
                <w:szCs w:val="18"/>
              </w:rPr>
              <w:t>）未按规定向主管部门或行业协会办理相关备案手续；</w:t>
            </w:r>
          </w:p>
          <w:p w14:paraId="57821C5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6</w:t>
            </w:r>
            <w:r>
              <w:rPr>
                <w:rFonts w:asciiTheme="minorHAnsi" w:eastAsiaTheme="minorEastAsia" w:hAnsiTheme="minorHAnsi" w:cstheme="minorBidi" w:hint="eastAsia"/>
                <w:sz w:val="18"/>
                <w:szCs w:val="18"/>
              </w:rPr>
              <w:t>）未按规定与前期物业服务企业办理物业承接验收手续，并移交物业档案资料、物业管理用房，或承接查验未符合标准强行移交；</w:t>
            </w:r>
          </w:p>
          <w:p w14:paraId="3585F1A0"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7</w:t>
            </w:r>
            <w:r>
              <w:rPr>
                <w:rFonts w:asciiTheme="minorHAnsi" w:eastAsiaTheme="minorEastAsia" w:hAnsiTheme="minorHAnsi" w:cstheme="minorBidi" w:hint="eastAsia"/>
                <w:sz w:val="18"/>
                <w:szCs w:val="18"/>
              </w:rPr>
              <w:t>）对首次业主大会的筹建及召开未给予支持；</w:t>
            </w:r>
          </w:p>
          <w:p w14:paraId="6E934D8E"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8</w:t>
            </w:r>
            <w:r>
              <w:rPr>
                <w:rFonts w:asciiTheme="minorHAnsi" w:eastAsiaTheme="minorEastAsia" w:hAnsiTheme="minorHAnsi" w:cstheme="minorBidi" w:hint="eastAsia"/>
                <w:sz w:val="18"/>
                <w:szCs w:val="18"/>
              </w:rPr>
              <w:t>）制定的业主临时公约侵害房屋买受人利益；</w:t>
            </w:r>
          </w:p>
          <w:p w14:paraId="241336E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9</w:t>
            </w:r>
            <w:r>
              <w:rPr>
                <w:rFonts w:asciiTheme="minorHAnsi" w:eastAsiaTheme="minorEastAsia" w:hAnsiTheme="minorHAnsi" w:cstheme="minorBidi" w:hint="eastAsia"/>
                <w:sz w:val="18"/>
                <w:szCs w:val="18"/>
              </w:rPr>
              <w:t>）未按前期物业服务合同约定的金额和时间缴纳已竣工但尚未出售或者尚未交付给买受人的物业服务费（含车位物业服务费）；</w:t>
            </w:r>
          </w:p>
          <w:p w14:paraId="102DE834"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10</w:t>
            </w:r>
            <w:r>
              <w:rPr>
                <w:rFonts w:asciiTheme="minorHAnsi" w:eastAsiaTheme="minorEastAsia" w:hAnsiTheme="minorHAnsi" w:cstheme="minorBidi" w:hint="eastAsia"/>
                <w:sz w:val="18"/>
                <w:szCs w:val="18"/>
              </w:rPr>
              <w:t>）擅自处分属于业主依法享有的物业共用部位、共用设施设备的所有权或者使用权；</w:t>
            </w:r>
          </w:p>
          <w:p w14:paraId="4C31D3C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11</w:t>
            </w:r>
            <w:r>
              <w:rPr>
                <w:rFonts w:asciiTheme="minorHAnsi" w:eastAsiaTheme="minorEastAsia" w:hAnsiTheme="minorHAnsi" w:cstheme="minorBidi" w:hint="eastAsia"/>
                <w:sz w:val="18"/>
                <w:szCs w:val="18"/>
              </w:rPr>
              <w:t>）未在已交付区域和施工未交付区域设置有效封闭隔离。</w:t>
            </w:r>
          </w:p>
        </w:tc>
      </w:tr>
      <w:tr w:rsidR="0035415A" w14:paraId="3F6880D2" w14:textId="77777777">
        <w:trPr>
          <w:cantSplit/>
          <w:jc w:val="center"/>
        </w:trPr>
        <w:tc>
          <w:tcPr>
            <w:tcW w:w="1166" w:type="dxa"/>
            <w:vMerge w:val="restart"/>
            <w:tcBorders>
              <w:top w:val="single" w:sz="8" w:space="0" w:color="auto"/>
              <w:left w:val="single" w:sz="8" w:space="0" w:color="auto"/>
              <w:bottom w:val="single" w:sz="4" w:space="0" w:color="auto"/>
              <w:right w:val="single" w:sz="4" w:space="0" w:color="auto"/>
            </w:tcBorders>
            <w:vAlign w:val="center"/>
          </w:tcPr>
          <w:p w14:paraId="59BABD1B" w14:textId="77777777" w:rsidR="0035415A" w:rsidRDefault="00000000">
            <w:pPr>
              <w:widowControl/>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lastRenderedPageBreak/>
              <w:t xml:space="preserve">3. </w:t>
            </w:r>
            <w:r>
              <w:rPr>
                <w:rFonts w:asciiTheme="minorHAnsi" w:eastAsiaTheme="minorEastAsia" w:hAnsiTheme="minorHAnsi" w:cstheme="minorBidi" w:hint="eastAsia"/>
                <w:sz w:val="18"/>
                <w:szCs w:val="18"/>
              </w:rPr>
              <w:t>企业社会信用情况（</w:t>
            </w:r>
            <w:r>
              <w:rPr>
                <w:rFonts w:asciiTheme="minorHAnsi" w:eastAsiaTheme="minorEastAsia" w:hAnsiTheme="minorHAnsi" w:cstheme="minorBidi" w:hint="eastAsia"/>
                <w:sz w:val="18"/>
                <w:szCs w:val="18"/>
              </w:rPr>
              <w:t>26</w:t>
            </w:r>
            <w:r>
              <w:rPr>
                <w:rFonts w:asciiTheme="minorHAnsi" w:eastAsiaTheme="minorEastAsia" w:hAnsiTheme="minorHAnsi" w:cstheme="minorBidi" w:hint="eastAsia"/>
                <w:sz w:val="18"/>
                <w:szCs w:val="18"/>
              </w:rPr>
              <w:t>分）</w:t>
            </w:r>
          </w:p>
        </w:tc>
        <w:tc>
          <w:tcPr>
            <w:tcW w:w="1376" w:type="dxa"/>
            <w:vMerge w:val="restart"/>
            <w:tcBorders>
              <w:top w:val="single" w:sz="8" w:space="0" w:color="auto"/>
              <w:left w:val="single" w:sz="4" w:space="0" w:color="auto"/>
              <w:bottom w:val="single" w:sz="4" w:space="0" w:color="auto"/>
              <w:right w:val="single" w:sz="4" w:space="0" w:color="auto"/>
            </w:tcBorders>
            <w:vAlign w:val="center"/>
          </w:tcPr>
          <w:p w14:paraId="6BF59FBB"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3.1</w:t>
            </w:r>
          </w:p>
          <w:p w14:paraId="48FDAA7D"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企业公共信用</w:t>
            </w:r>
          </w:p>
          <w:p w14:paraId="46826A6E"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sz w:val="18"/>
                <w:szCs w:val="18"/>
              </w:rPr>
              <w:t>0</w:t>
            </w:r>
            <w:r>
              <w:rPr>
                <w:rFonts w:asciiTheme="minorHAnsi" w:eastAsiaTheme="minorEastAsia" w:hAnsiTheme="minorHAnsi" w:cstheme="minorBidi" w:hint="eastAsia"/>
                <w:sz w:val="18"/>
                <w:szCs w:val="18"/>
              </w:rPr>
              <w:t>分）</w:t>
            </w:r>
          </w:p>
        </w:tc>
        <w:tc>
          <w:tcPr>
            <w:tcW w:w="1701" w:type="dxa"/>
            <w:tcBorders>
              <w:top w:val="single" w:sz="8" w:space="0" w:color="auto"/>
              <w:left w:val="single" w:sz="4" w:space="0" w:color="auto"/>
              <w:bottom w:val="single" w:sz="4" w:space="0" w:color="auto"/>
              <w:right w:val="single" w:sz="4" w:space="0" w:color="auto"/>
            </w:tcBorders>
            <w:vAlign w:val="center"/>
          </w:tcPr>
          <w:p w14:paraId="1439E2D1"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3.1.1</w:t>
            </w:r>
          </w:p>
          <w:p w14:paraId="0BBF3223"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公共信用记录</w:t>
            </w:r>
          </w:p>
        </w:tc>
        <w:tc>
          <w:tcPr>
            <w:tcW w:w="854" w:type="dxa"/>
            <w:tcBorders>
              <w:top w:val="single" w:sz="8" w:space="0" w:color="auto"/>
              <w:left w:val="single" w:sz="4" w:space="0" w:color="auto"/>
              <w:bottom w:val="single" w:sz="4" w:space="0" w:color="auto"/>
              <w:right w:val="single" w:sz="4" w:space="0" w:color="auto"/>
            </w:tcBorders>
            <w:vAlign w:val="center"/>
          </w:tcPr>
          <w:p w14:paraId="40F323C2"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8</w:t>
            </w:r>
            <w:r>
              <w:rPr>
                <w:rFonts w:asciiTheme="minorHAnsi" w:eastAsiaTheme="minorEastAsia" w:hAnsiTheme="minorHAnsi" w:cstheme="minorBidi" w:hint="eastAsia"/>
                <w:sz w:val="18"/>
                <w:szCs w:val="18"/>
              </w:rPr>
              <w:t>分</w:t>
            </w:r>
          </w:p>
        </w:tc>
        <w:tc>
          <w:tcPr>
            <w:tcW w:w="3965" w:type="dxa"/>
            <w:tcBorders>
              <w:top w:val="single" w:sz="8" w:space="0" w:color="auto"/>
              <w:left w:val="single" w:sz="4" w:space="0" w:color="auto"/>
              <w:bottom w:val="single" w:sz="4" w:space="0" w:color="auto"/>
              <w:right w:val="single" w:sz="4" w:space="0" w:color="auto"/>
            </w:tcBorders>
            <w:vAlign w:val="center"/>
          </w:tcPr>
          <w:p w14:paraId="4AAFA869"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评价企业在公共机构或部门的信用记录情况。</w:t>
            </w:r>
          </w:p>
        </w:tc>
        <w:tc>
          <w:tcPr>
            <w:tcW w:w="6055" w:type="dxa"/>
            <w:tcBorders>
              <w:top w:val="single" w:sz="8" w:space="0" w:color="auto"/>
              <w:left w:val="single" w:sz="4" w:space="0" w:color="auto"/>
              <w:bottom w:val="single" w:sz="4" w:space="0" w:color="auto"/>
              <w:right w:val="single" w:sz="8" w:space="0" w:color="auto"/>
            </w:tcBorders>
            <w:vAlign w:val="center"/>
          </w:tcPr>
          <w:p w14:paraId="4FDCA34E"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企业存有下列不良记录的：</w:t>
            </w:r>
          </w:p>
          <w:p w14:paraId="5E71B509"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）生效的司法文书，每项扣</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4B3B01F8"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）行政处罚决定文书，其中警告、通报批评，每条扣</w:t>
            </w:r>
            <w:r>
              <w:rPr>
                <w:rFonts w:asciiTheme="minorHAnsi" w:eastAsiaTheme="minorEastAsia" w:hAnsiTheme="minorHAnsi" w:cstheme="minorBidi" w:hint="eastAsia"/>
                <w:sz w:val="18"/>
                <w:szCs w:val="18"/>
              </w:rPr>
              <w:t>0</w:t>
            </w:r>
            <w:r>
              <w:rPr>
                <w:rFonts w:asciiTheme="minorHAnsi" w:eastAsiaTheme="minorEastAsia" w:hAnsiTheme="minorHAnsi" w:cstheme="minorBidi"/>
                <w:sz w:val="18"/>
                <w:szCs w:val="18"/>
              </w:rPr>
              <w:t>.5</w:t>
            </w:r>
            <w:r>
              <w:rPr>
                <w:rFonts w:asciiTheme="minorHAnsi" w:eastAsiaTheme="minorEastAsia" w:hAnsiTheme="minorHAnsi" w:cstheme="minorBidi" w:hint="eastAsia"/>
                <w:sz w:val="18"/>
                <w:szCs w:val="18"/>
              </w:rPr>
              <w:t>分；罚款、没收违法所得或非法财物，每条扣</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分；暂扣许可证、降低资质等级，扣</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分；吊销许可证或资质资格证书、限制开展生产经营活动，扣</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分；责令停产停业、限制从业，扣</w:t>
            </w:r>
            <w:r>
              <w:rPr>
                <w:rFonts w:asciiTheme="minorHAnsi" w:eastAsiaTheme="minorEastAsia" w:hAnsiTheme="minorHAnsi" w:cstheme="minorBidi" w:hint="eastAsia"/>
                <w:sz w:val="18"/>
                <w:szCs w:val="18"/>
              </w:rPr>
              <w:t>8</w:t>
            </w:r>
            <w:r>
              <w:rPr>
                <w:rFonts w:asciiTheme="minorHAnsi" w:eastAsiaTheme="minorEastAsia" w:hAnsiTheme="minorHAnsi" w:cstheme="minorBidi" w:hint="eastAsia"/>
                <w:sz w:val="18"/>
                <w:szCs w:val="18"/>
              </w:rPr>
              <w:t>分；</w:t>
            </w:r>
          </w:p>
          <w:p w14:paraId="31C76FEB"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）依法依规</w:t>
            </w:r>
            <w:proofErr w:type="gramStart"/>
            <w:r>
              <w:rPr>
                <w:rFonts w:asciiTheme="minorHAnsi" w:eastAsiaTheme="minorEastAsia" w:hAnsiTheme="minorHAnsi" w:cstheme="minorBidi" w:hint="eastAsia"/>
                <w:sz w:val="18"/>
                <w:szCs w:val="18"/>
              </w:rPr>
              <w:t>作出</w:t>
            </w:r>
            <w:proofErr w:type="gramEnd"/>
            <w:r>
              <w:rPr>
                <w:rFonts w:asciiTheme="minorHAnsi" w:eastAsiaTheme="minorEastAsia" w:hAnsiTheme="minorHAnsi" w:cstheme="minorBidi" w:hint="eastAsia"/>
                <w:sz w:val="18"/>
                <w:szCs w:val="18"/>
              </w:rPr>
              <w:t>的其他行政行为决定文书：责令改正、限期改正，每项扣</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4B1D68A1"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）法律法规或者党中央、国务院政策文件规定可作为失信行为认定依据的其他文书，每项扣</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4243D5A9"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累计扣满</w:t>
            </w:r>
            <w:r>
              <w:rPr>
                <w:rFonts w:asciiTheme="minorHAnsi" w:eastAsiaTheme="minorEastAsia" w:hAnsiTheme="minorHAnsi" w:cstheme="minorBidi" w:hint="eastAsia"/>
                <w:sz w:val="18"/>
                <w:szCs w:val="18"/>
              </w:rPr>
              <w:t>8</w:t>
            </w:r>
            <w:r>
              <w:rPr>
                <w:rFonts w:asciiTheme="minorHAnsi" w:eastAsiaTheme="minorEastAsia" w:hAnsiTheme="minorHAnsi" w:cstheme="minorBidi" w:hint="eastAsia"/>
                <w:sz w:val="18"/>
                <w:szCs w:val="18"/>
              </w:rPr>
              <w:t>分。</w:t>
            </w:r>
          </w:p>
        </w:tc>
      </w:tr>
      <w:tr w:rsidR="0035415A" w14:paraId="6598E987"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2722DC9F"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F767B8D"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6ECE79"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3.1.2</w:t>
            </w:r>
          </w:p>
          <w:p w14:paraId="58F3FAB5"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纳税额</w:t>
            </w:r>
          </w:p>
        </w:tc>
        <w:tc>
          <w:tcPr>
            <w:tcW w:w="854" w:type="dxa"/>
            <w:tcBorders>
              <w:top w:val="single" w:sz="4" w:space="0" w:color="auto"/>
              <w:left w:val="single" w:sz="4" w:space="0" w:color="auto"/>
              <w:bottom w:val="single" w:sz="4" w:space="0" w:color="auto"/>
              <w:right w:val="single" w:sz="4" w:space="0" w:color="auto"/>
            </w:tcBorders>
            <w:vAlign w:val="center"/>
          </w:tcPr>
          <w:p w14:paraId="22E5CA3F"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648C9A37"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评价企业纳税</w:t>
            </w:r>
            <w:proofErr w:type="gramStart"/>
            <w:r>
              <w:rPr>
                <w:rFonts w:asciiTheme="minorHAnsi" w:eastAsiaTheme="minorEastAsia" w:hAnsiTheme="minorHAnsi" w:cstheme="minorBidi" w:hint="eastAsia"/>
                <w:sz w:val="18"/>
                <w:szCs w:val="18"/>
              </w:rPr>
              <w:t>额反映</w:t>
            </w:r>
            <w:proofErr w:type="gramEnd"/>
            <w:r>
              <w:rPr>
                <w:rFonts w:asciiTheme="minorHAnsi" w:eastAsiaTheme="minorEastAsia" w:hAnsiTheme="minorHAnsi" w:cstheme="minorBidi" w:hint="eastAsia"/>
                <w:sz w:val="18"/>
                <w:szCs w:val="18"/>
              </w:rPr>
              <w:t>企业纳税贡献率（纳税额</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资产规模）。</w:t>
            </w:r>
          </w:p>
        </w:tc>
        <w:tc>
          <w:tcPr>
            <w:tcW w:w="6055" w:type="dxa"/>
            <w:tcBorders>
              <w:top w:val="single" w:sz="4" w:space="0" w:color="auto"/>
              <w:left w:val="single" w:sz="4" w:space="0" w:color="auto"/>
              <w:bottom w:val="single" w:sz="4" w:space="0" w:color="auto"/>
              <w:right w:val="single" w:sz="8" w:space="0" w:color="auto"/>
            </w:tcBorders>
            <w:vAlign w:val="center"/>
          </w:tcPr>
          <w:p w14:paraId="01052D31"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企业近三年平均纳税贡献率大于</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（含</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p w14:paraId="3EA351EB"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企业近三年平均纳税贡献率在</w:t>
            </w:r>
            <w:r>
              <w:rPr>
                <w:rFonts w:asciiTheme="minorHAnsi" w:eastAsiaTheme="minorEastAsia" w:hAnsiTheme="minorHAnsi" w:cstheme="minorBidi" w:hint="eastAsia"/>
                <w:sz w:val="18"/>
                <w:szCs w:val="18"/>
              </w:rPr>
              <w:t>2%-3%</w:t>
            </w:r>
            <w:r>
              <w:rPr>
                <w:rFonts w:asciiTheme="minorHAnsi" w:eastAsiaTheme="minorEastAsia" w:hAnsiTheme="minorHAnsi" w:cstheme="minorBidi" w:hint="eastAsia"/>
                <w:sz w:val="18"/>
                <w:szCs w:val="18"/>
              </w:rPr>
              <w:t>（含</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1.5</w:t>
            </w:r>
            <w:r>
              <w:rPr>
                <w:rFonts w:asciiTheme="minorHAnsi" w:eastAsiaTheme="minorEastAsia" w:hAnsiTheme="minorHAnsi" w:cstheme="minorBidi" w:hint="eastAsia"/>
                <w:sz w:val="18"/>
                <w:szCs w:val="18"/>
              </w:rPr>
              <w:t>分；</w:t>
            </w:r>
          </w:p>
          <w:p w14:paraId="1A8A892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企业近三年平均纳税贡献率在</w:t>
            </w:r>
            <w:r>
              <w:rPr>
                <w:rFonts w:asciiTheme="minorHAnsi" w:eastAsiaTheme="minorEastAsia" w:hAnsiTheme="minorHAnsi" w:cstheme="minorBidi" w:hint="eastAsia"/>
                <w:sz w:val="18"/>
                <w:szCs w:val="18"/>
              </w:rPr>
              <w:t>1%-2%</w:t>
            </w:r>
            <w:r>
              <w:rPr>
                <w:rFonts w:asciiTheme="minorHAnsi" w:eastAsiaTheme="minorEastAsia" w:hAnsiTheme="minorHAnsi" w:cstheme="minorBidi" w:hint="eastAsia"/>
                <w:sz w:val="18"/>
                <w:szCs w:val="18"/>
              </w:rPr>
              <w:t>（含</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4FBC67DF"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企业近三年平均纳税贡献率在</w:t>
            </w:r>
            <w:r>
              <w:rPr>
                <w:rFonts w:asciiTheme="minorHAnsi" w:eastAsiaTheme="minorEastAsia" w:hAnsiTheme="minorHAnsi" w:cstheme="minorBidi" w:hint="eastAsia"/>
                <w:sz w:val="18"/>
                <w:szCs w:val="18"/>
              </w:rPr>
              <w:t>0.5%-1%</w:t>
            </w:r>
            <w:r>
              <w:rPr>
                <w:rFonts w:asciiTheme="minorHAnsi" w:eastAsiaTheme="minorEastAsia" w:hAnsiTheme="minorHAnsi" w:cstheme="minorBidi" w:hint="eastAsia"/>
                <w:sz w:val="18"/>
                <w:szCs w:val="18"/>
              </w:rPr>
              <w:t>（含</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w:t>
            </w:r>
          </w:p>
          <w:p w14:paraId="09E9B38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企业近三年平均纳税贡献率小于</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tc>
      </w:tr>
      <w:tr w:rsidR="0035415A" w14:paraId="50833320"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3643D5AE" w14:textId="77777777" w:rsidR="0035415A" w:rsidRDefault="0035415A">
            <w:pPr>
              <w:jc w:val="center"/>
              <w:rPr>
                <w:rFonts w:asciiTheme="minorHAnsi" w:eastAsiaTheme="minorEastAsia" w:hAnsiTheme="minorHAnsi" w:cstheme="minorBidi"/>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636954CB"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3.2</w:t>
            </w:r>
          </w:p>
          <w:p w14:paraId="5AE6CEC1"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企业对合作方信用</w:t>
            </w:r>
          </w:p>
          <w:p w14:paraId="6396A83D"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25C11C1B"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3</w:t>
            </w:r>
            <w:r>
              <w:rPr>
                <w:rFonts w:asciiTheme="minorHAnsi" w:eastAsiaTheme="minorEastAsia" w:hAnsiTheme="minorHAnsi" w:cstheme="minorBidi"/>
                <w:sz w:val="18"/>
                <w:szCs w:val="18"/>
              </w:rPr>
              <w:t>.2.1</w:t>
            </w:r>
          </w:p>
          <w:p w14:paraId="7C5FF984"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对合作方信用</w:t>
            </w:r>
          </w:p>
        </w:tc>
        <w:tc>
          <w:tcPr>
            <w:tcW w:w="854" w:type="dxa"/>
            <w:tcBorders>
              <w:top w:val="single" w:sz="4" w:space="0" w:color="auto"/>
              <w:left w:val="single" w:sz="4" w:space="0" w:color="auto"/>
              <w:bottom w:val="single" w:sz="4" w:space="0" w:color="auto"/>
              <w:right w:val="single" w:sz="4" w:space="0" w:color="auto"/>
            </w:tcBorders>
            <w:vAlign w:val="center"/>
          </w:tcPr>
          <w:p w14:paraId="08F448A0"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1E92C56B"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评价企业对合作方的信用情况。</w:t>
            </w:r>
          </w:p>
          <w:p w14:paraId="7FAC628C" w14:textId="77777777" w:rsidR="0035415A" w:rsidRDefault="0035415A">
            <w:pPr>
              <w:jc w:val="left"/>
              <w:rPr>
                <w:rFonts w:asciiTheme="minorHAnsi" w:eastAsiaTheme="minorEastAsia" w:hAnsiTheme="minorHAnsi" w:cstheme="minorBidi"/>
                <w:sz w:val="18"/>
                <w:szCs w:val="18"/>
              </w:rPr>
            </w:pPr>
          </w:p>
        </w:tc>
        <w:tc>
          <w:tcPr>
            <w:tcW w:w="6055" w:type="dxa"/>
            <w:tcBorders>
              <w:top w:val="single" w:sz="4" w:space="0" w:color="auto"/>
              <w:left w:val="single" w:sz="4" w:space="0" w:color="auto"/>
              <w:bottom w:val="single" w:sz="4" w:space="0" w:color="auto"/>
              <w:right w:val="single" w:sz="8" w:space="0" w:color="auto"/>
            </w:tcBorders>
            <w:vAlign w:val="center"/>
          </w:tcPr>
          <w:p w14:paraId="134D9C68"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抽查企业对主要合作方，包括设计单位、供应商、施工承包方、勘察、监理及上下游合作企业的信用情况，无不良记录得</w:t>
            </w:r>
            <w:r>
              <w:rPr>
                <w:rFonts w:asciiTheme="minorHAnsi" w:eastAsiaTheme="minorEastAsia" w:hAnsiTheme="minorHAnsi" w:cstheme="minorBidi"/>
                <w:sz w:val="18"/>
                <w:szCs w:val="18"/>
              </w:rPr>
              <w:t>4</w:t>
            </w:r>
            <w:r>
              <w:rPr>
                <w:rFonts w:asciiTheme="minorHAnsi" w:eastAsiaTheme="minorEastAsia" w:hAnsiTheme="minorHAnsi" w:cstheme="minorBidi" w:hint="eastAsia"/>
                <w:sz w:val="18"/>
                <w:szCs w:val="18"/>
              </w:rPr>
              <w:t>分；</w:t>
            </w:r>
          </w:p>
          <w:p w14:paraId="23760BE3"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每出现一项不良记录，根据情节严重程度扣</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02B2CF99"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累计扣满</w:t>
            </w:r>
            <w:r>
              <w:rPr>
                <w:rFonts w:asciiTheme="minorHAnsi" w:eastAsiaTheme="minorEastAsia" w:hAnsiTheme="minorHAnsi" w:cstheme="minorBidi"/>
                <w:sz w:val="18"/>
                <w:szCs w:val="18"/>
              </w:rPr>
              <w:t>4</w:t>
            </w:r>
            <w:r>
              <w:rPr>
                <w:rFonts w:asciiTheme="minorHAnsi" w:eastAsiaTheme="minorEastAsia" w:hAnsiTheme="minorHAnsi" w:cstheme="minorBidi" w:hint="eastAsia"/>
                <w:sz w:val="18"/>
                <w:szCs w:val="18"/>
              </w:rPr>
              <w:t>分。</w:t>
            </w:r>
          </w:p>
          <w:p w14:paraId="20D2C2AD"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其中，重点抽查内容包括但不限于合同履约、霸王条款、采购付款、垫资施工、拖欠工资、强制变更付款条件和付款结算方式等。</w:t>
            </w:r>
          </w:p>
        </w:tc>
      </w:tr>
      <w:tr w:rsidR="0035415A" w14:paraId="6A731AAF" w14:textId="77777777">
        <w:trPr>
          <w:cantSplit/>
          <w:trHeight w:val="298"/>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544D4005" w14:textId="77777777" w:rsidR="0035415A" w:rsidRDefault="0035415A">
            <w:pPr>
              <w:jc w:val="center"/>
              <w:rPr>
                <w:rFonts w:asciiTheme="minorHAnsi" w:eastAsiaTheme="minorEastAsia" w:hAnsiTheme="minorHAnsi" w:cstheme="minorBidi"/>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329DE126"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3.3</w:t>
            </w:r>
          </w:p>
          <w:p w14:paraId="6DD346C5"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企业对股东和投资人信用</w:t>
            </w:r>
          </w:p>
          <w:p w14:paraId="5D4ED6D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3495103C"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3</w:t>
            </w:r>
            <w:r>
              <w:rPr>
                <w:rFonts w:asciiTheme="minorHAnsi" w:eastAsiaTheme="minorEastAsia" w:hAnsiTheme="minorHAnsi" w:cstheme="minorBidi"/>
                <w:sz w:val="18"/>
                <w:szCs w:val="18"/>
              </w:rPr>
              <w:t>.3.1</w:t>
            </w:r>
          </w:p>
          <w:p w14:paraId="559C99A0"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对股东和投资人信用</w:t>
            </w:r>
          </w:p>
        </w:tc>
        <w:tc>
          <w:tcPr>
            <w:tcW w:w="854" w:type="dxa"/>
            <w:tcBorders>
              <w:top w:val="single" w:sz="4" w:space="0" w:color="auto"/>
              <w:left w:val="single" w:sz="4" w:space="0" w:color="auto"/>
              <w:bottom w:val="single" w:sz="4" w:space="0" w:color="auto"/>
              <w:right w:val="single" w:sz="4" w:space="0" w:color="auto"/>
            </w:tcBorders>
            <w:vAlign w:val="center"/>
          </w:tcPr>
          <w:p w14:paraId="73BE6211"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69C5294C"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评价企业是否按公司章程向股东分红；投资人对资产的所有权和支配权情况。</w:t>
            </w:r>
          </w:p>
        </w:tc>
        <w:tc>
          <w:tcPr>
            <w:tcW w:w="6055" w:type="dxa"/>
            <w:tcBorders>
              <w:top w:val="single" w:sz="4" w:space="0" w:color="auto"/>
              <w:left w:val="single" w:sz="4" w:space="0" w:color="auto"/>
              <w:bottom w:val="single" w:sz="4" w:space="0" w:color="auto"/>
              <w:right w:val="single" w:sz="8" w:space="0" w:color="auto"/>
            </w:tcBorders>
            <w:vAlign w:val="center"/>
          </w:tcPr>
          <w:p w14:paraId="4BCE4404"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）企业近三年连续向股东分红，得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分；不足三年得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分；没有分红得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43142D83"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）企业近三年未发生股东与投资人纠纷，得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分；股东与投资人有纠纷有诉讼行为的得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p w14:paraId="7822CF2E"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本项目得分为上述两部分加总。</w:t>
            </w:r>
          </w:p>
        </w:tc>
      </w:tr>
      <w:tr w:rsidR="0035415A" w14:paraId="041F06EA" w14:textId="77777777">
        <w:trPr>
          <w:cantSplit/>
          <w:trHeight w:val="1584"/>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5CD398E5" w14:textId="77777777" w:rsidR="0035415A" w:rsidRDefault="0035415A">
            <w:pPr>
              <w:jc w:val="center"/>
              <w:rPr>
                <w:rFonts w:asciiTheme="minorHAnsi" w:eastAsiaTheme="minorEastAsia" w:hAnsiTheme="minorHAnsi" w:cstheme="minorBidi"/>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3C9D638E"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3.</w:t>
            </w:r>
            <w:r>
              <w:rPr>
                <w:rFonts w:asciiTheme="minorHAnsi" w:eastAsiaTheme="minorEastAsia" w:hAnsiTheme="minorHAnsi" w:cstheme="minorBidi" w:hint="eastAsia"/>
                <w:sz w:val="18"/>
                <w:szCs w:val="18"/>
              </w:rPr>
              <w:t>4</w:t>
            </w:r>
          </w:p>
          <w:p w14:paraId="7D011AAB"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企业对</w:t>
            </w:r>
          </w:p>
          <w:p w14:paraId="2E691B64"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员工信用</w:t>
            </w:r>
          </w:p>
          <w:p w14:paraId="114C9C2E"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431043D0"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3</w:t>
            </w:r>
            <w:r>
              <w:rPr>
                <w:rFonts w:asciiTheme="minorHAnsi" w:eastAsiaTheme="minorEastAsia" w:hAnsiTheme="minorHAnsi" w:cstheme="minorBidi"/>
                <w:sz w:val="18"/>
                <w:szCs w:val="18"/>
              </w:rPr>
              <w:t>.4.1</w:t>
            </w:r>
          </w:p>
          <w:p w14:paraId="620657C1"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对员工信用</w:t>
            </w:r>
          </w:p>
        </w:tc>
        <w:tc>
          <w:tcPr>
            <w:tcW w:w="854" w:type="dxa"/>
            <w:tcBorders>
              <w:top w:val="single" w:sz="4" w:space="0" w:color="auto"/>
              <w:left w:val="single" w:sz="4" w:space="0" w:color="auto"/>
              <w:bottom w:val="single" w:sz="4" w:space="0" w:color="auto"/>
              <w:right w:val="single" w:sz="4" w:space="0" w:color="auto"/>
            </w:tcBorders>
            <w:vAlign w:val="center"/>
          </w:tcPr>
          <w:p w14:paraId="2861751C"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3DD67F86"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评价企业是否为员工按规定缴纳五险</w:t>
            </w:r>
            <w:proofErr w:type="gramStart"/>
            <w:r>
              <w:rPr>
                <w:rFonts w:asciiTheme="minorHAnsi" w:eastAsiaTheme="minorEastAsia" w:hAnsiTheme="minorHAnsi" w:cstheme="minorBidi" w:hint="eastAsia"/>
                <w:sz w:val="18"/>
                <w:szCs w:val="18"/>
              </w:rPr>
              <w:t>一</w:t>
            </w:r>
            <w:proofErr w:type="gramEnd"/>
            <w:r>
              <w:rPr>
                <w:rFonts w:asciiTheme="minorHAnsi" w:eastAsiaTheme="minorEastAsia" w:hAnsiTheme="minorHAnsi" w:cstheme="minorBidi" w:hint="eastAsia"/>
                <w:sz w:val="18"/>
                <w:szCs w:val="18"/>
              </w:rPr>
              <w:t>金，是否按劳动合同法保障员工权益。</w:t>
            </w:r>
          </w:p>
        </w:tc>
        <w:tc>
          <w:tcPr>
            <w:tcW w:w="6055" w:type="dxa"/>
            <w:tcBorders>
              <w:top w:val="single" w:sz="4" w:space="0" w:color="auto"/>
              <w:left w:val="single" w:sz="4" w:space="0" w:color="auto"/>
              <w:bottom w:val="single" w:sz="4" w:space="0" w:color="auto"/>
              <w:right w:val="single" w:sz="8" w:space="0" w:color="auto"/>
            </w:tcBorders>
            <w:vAlign w:val="center"/>
          </w:tcPr>
          <w:p w14:paraId="68E7150A"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企业近三年根据本企业劳动合同全员按时足额为员工缴纳五险</w:t>
            </w:r>
            <w:proofErr w:type="gramStart"/>
            <w:r>
              <w:rPr>
                <w:rFonts w:asciiTheme="minorHAnsi" w:eastAsiaTheme="minorEastAsia" w:hAnsiTheme="minorHAnsi" w:cstheme="minorBidi" w:hint="eastAsia"/>
                <w:sz w:val="18"/>
                <w:szCs w:val="18"/>
              </w:rPr>
              <w:t>一</w:t>
            </w:r>
            <w:proofErr w:type="gramEnd"/>
            <w:r>
              <w:rPr>
                <w:rFonts w:asciiTheme="minorHAnsi" w:eastAsiaTheme="minorEastAsia" w:hAnsiTheme="minorHAnsi" w:cstheme="minorBidi" w:hint="eastAsia"/>
                <w:sz w:val="18"/>
                <w:szCs w:val="18"/>
              </w:rPr>
              <w:t>金得</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分；全员参保，非全员缴纳公积金，公积金缴纳人数超过总人数</w:t>
            </w:r>
            <w:r>
              <w:rPr>
                <w:rFonts w:asciiTheme="minorHAnsi" w:eastAsiaTheme="minorEastAsia" w:hAnsiTheme="minorHAnsi" w:cstheme="minorBidi" w:hint="eastAsia"/>
                <w:sz w:val="18"/>
                <w:szCs w:val="18"/>
              </w:rPr>
              <w:t>50%</w:t>
            </w:r>
            <w:r>
              <w:rPr>
                <w:rFonts w:asciiTheme="minorHAnsi" w:eastAsiaTheme="minorEastAsia" w:hAnsiTheme="minorHAnsi" w:cstheme="minorBidi" w:hint="eastAsia"/>
                <w:sz w:val="18"/>
                <w:szCs w:val="18"/>
              </w:rPr>
              <w:t>（含</w:t>
            </w:r>
            <w:r>
              <w:rPr>
                <w:rFonts w:asciiTheme="minorHAnsi" w:eastAsiaTheme="minorEastAsia" w:hAnsiTheme="minorHAnsi" w:cstheme="minorBidi" w:hint="eastAsia"/>
                <w:sz w:val="18"/>
                <w:szCs w:val="18"/>
              </w:rPr>
              <w:t>50%</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1.5</w:t>
            </w:r>
            <w:r>
              <w:rPr>
                <w:rFonts w:asciiTheme="minorHAnsi" w:eastAsiaTheme="minorEastAsia" w:hAnsiTheme="minorHAnsi" w:cstheme="minorBidi" w:hint="eastAsia"/>
                <w:sz w:val="18"/>
                <w:szCs w:val="18"/>
              </w:rPr>
              <w:t>分；全员参保，非全员缴纳公积金，公积金缴纳人数低于总人数</w:t>
            </w:r>
            <w:r>
              <w:rPr>
                <w:rFonts w:asciiTheme="minorHAnsi" w:eastAsiaTheme="minorEastAsia" w:hAnsiTheme="minorHAnsi" w:cstheme="minorBidi" w:hint="eastAsia"/>
                <w:sz w:val="18"/>
                <w:szCs w:val="18"/>
              </w:rPr>
              <w:t>50%</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0.8</w:t>
            </w:r>
            <w:r>
              <w:rPr>
                <w:rFonts w:asciiTheme="minorHAnsi" w:eastAsiaTheme="minorEastAsia" w:hAnsiTheme="minorHAnsi" w:cstheme="minorBidi" w:hint="eastAsia"/>
                <w:sz w:val="18"/>
                <w:szCs w:val="18"/>
              </w:rPr>
              <w:t>分；非全员参保、非全员缴纳公积金，缴纳人数超过总人数</w:t>
            </w:r>
            <w:r>
              <w:rPr>
                <w:rFonts w:asciiTheme="minorHAnsi" w:eastAsiaTheme="minorEastAsia" w:hAnsiTheme="minorHAnsi" w:cstheme="minorBidi" w:hint="eastAsia"/>
                <w:sz w:val="18"/>
                <w:szCs w:val="18"/>
              </w:rPr>
              <w:t>50%</w:t>
            </w:r>
            <w:r>
              <w:rPr>
                <w:rFonts w:asciiTheme="minorHAnsi" w:eastAsiaTheme="minorEastAsia" w:hAnsiTheme="minorHAnsi" w:cstheme="minorBidi" w:hint="eastAsia"/>
                <w:sz w:val="18"/>
                <w:szCs w:val="18"/>
              </w:rPr>
              <w:t>（含</w:t>
            </w:r>
            <w:r>
              <w:rPr>
                <w:rFonts w:asciiTheme="minorHAnsi" w:eastAsiaTheme="minorEastAsia" w:hAnsiTheme="minorHAnsi" w:cstheme="minorBidi" w:hint="eastAsia"/>
                <w:sz w:val="18"/>
                <w:szCs w:val="18"/>
              </w:rPr>
              <w:t>50%</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分；缴纳人数小于总人数</w:t>
            </w:r>
            <w:r>
              <w:rPr>
                <w:rFonts w:asciiTheme="minorHAnsi" w:eastAsiaTheme="minorEastAsia" w:hAnsiTheme="minorHAnsi" w:cstheme="minorBidi" w:hint="eastAsia"/>
                <w:sz w:val="18"/>
                <w:szCs w:val="18"/>
              </w:rPr>
              <w:t>50%</w:t>
            </w:r>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分；不缴纳五险</w:t>
            </w:r>
            <w:proofErr w:type="gramStart"/>
            <w:r>
              <w:rPr>
                <w:rFonts w:asciiTheme="minorHAnsi" w:eastAsiaTheme="minorEastAsia" w:hAnsiTheme="minorHAnsi" w:cstheme="minorBidi" w:hint="eastAsia"/>
                <w:sz w:val="18"/>
                <w:szCs w:val="18"/>
              </w:rPr>
              <w:t>一</w:t>
            </w:r>
            <w:proofErr w:type="gramEnd"/>
            <w:r>
              <w:rPr>
                <w:rFonts w:asciiTheme="minorHAnsi" w:eastAsiaTheme="minorEastAsia" w:hAnsiTheme="minorHAnsi" w:cstheme="minorBidi" w:hint="eastAsia"/>
                <w:sz w:val="18"/>
                <w:szCs w:val="18"/>
              </w:rPr>
              <w:t>金，或因劳动合同纠纷造成重大社会影响得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tc>
      </w:tr>
      <w:tr w:rsidR="0035415A" w14:paraId="0390BA71"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3558F029" w14:textId="77777777" w:rsidR="0035415A" w:rsidRDefault="0035415A">
            <w:pPr>
              <w:jc w:val="center"/>
              <w:rPr>
                <w:rFonts w:asciiTheme="minorHAnsi" w:eastAsiaTheme="minorEastAsia" w:hAnsiTheme="minorHAnsi" w:cstheme="minorBidi"/>
                <w:sz w:val="18"/>
                <w:szCs w:val="18"/>
              </w:rPr>
            </w:pPr>
          </w:p>
        </w:tc>
        <w:tc>
          <w:tcPr>
            <w:tcW w:w="1376" w:type="dxa"/>
            <w:vMerge w:val="restart"/>
            <w:tcBorders>
              <w:top w:val="single" w:sz="4" w:space="0" w:color="auto"/>
              <w:left w:val="single" w:sz="4" w:space="0" w:color="auto"/>
              <w:right w:val="single" w:sz="4" w:space="0" w:color="auto"/>
            </w:tcBorders>
            <w:vAlign w:val="center"/>
          </w:tcPr>
          <w:p w14:paraId="300234BB"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3.</w:t>
            </w:r>
            <w:r>
              <w:rPr>
                <w:rFonts w:asciiTheme="minorHAnsi" w:eastAsiaTheme="minorEastAsia" w:hAnsiTheme="minorHAnsi" w:cstheme="minorBidi" w:hint="eastAsia"/>
                <w:sz w:val="18"/>
                <w:szCs w:val="18"/>
              </w:rPr>
              <w:t>5</w:t>
            </w:r>
          </w:p>
          <w:p w14:paraId="5FADA99F"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社会公共信用（</w:t>
            </w:r>
            <w:r>
              <w:rPr>
                <w:rFonts w:asciiTheme="minorHAnsi" w:eastAsiaTheme="minorEastAsia" w:hAnsiTheme="minorHAnsi" w:cstheme="minorBidi"/>
                <w:sz w:val="18"/>
                <w:szCs w:val="18"/>
              </w:rPr>
              <w:t>6</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245121BD"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3.5.1</w:t>
            </w:r>
          </w:p>
          <w:p w14:paraId="5788157E"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对消费者信用</w:t>
            </w:r>
          </w:p>
        </w:tc>
        <w:tc>
          <w:tcPr>
            <w:tcW w:w="854" w:type="dxa"/>
            <w:tcBorders>
              <w:top w:val="single" w:sz="4" w:space="0" w:color="auto"/>
              <w:left w:val="single" w:sz="4" w:space="0" w:color="auto"/>
              <w:bottom w:val="single" w:sz="4" w:space="0" w:color="auto"/>
              <w:right w:val="single" w:sz="4" w:space="0" w:color="auto"/>
            </w:tcBorders>
            <w:vAlign w:val="center"/>
          </w:tcPr>
          <w:p w14:paraId="1AAD67B4"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09703192"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评价企业保障消费者权益情况。</w:t>
            </w:r>
          </w:p>
        </w:tc>
        <w:tc>
          <w:tcPr>
            <w:tcW w:w="6055" w:type="dxa"/>
            <w:tcBorders>
              <w:top w:val="single" w:sz="4" w:space="0" w:color="auto"/>
              <w:left w:val="single" w:sz="4" w:space="0" w:color="auto"/>
              <w:bottom w:val="single" w:sz="4" w:space="0" w:color="auto"/>
              <w:right w:val="single" w:sz="8" w:space="0" w:color="auto"/>
            </w:tcBorders>
            <w:vAlign w:val="center"/>
          </w:tcPr>
          <w:p w14:paraId="302A64F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设有消费者服务平台或部门，配备消费者服务、投诉接待负责人或专职人员，消费者投诉反馈及处理机制流畅、高效，过程有留痕，处理有结果，得</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分；</w:t>
            </w:r>
          </w:p>
          <w:p w14:paraId="657010AD"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配备专职人员负责消费者投诉，过程有留痕，处理有结果，得</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p w14:paraId="173C987D"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配备专职人员负责消费者投诉，过程有留痕但处理结果不详细，得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0AB2AC82"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无设置消费者服务机制，得</w:t>
            </w:r>
            <w:r>
              <w:rPr>
                <w:rFonts w:asciiTheme="minorHAnsi" w:eastAsiaTheme="minorEastAsia" w:hAnsiTheme="minorHAnsi" w:cstheme="minorBidi" w:hint="eastAsia"/>
                <w:sz w:val="18"/>
                <w:szCs w:val="18"/>
              </w:rPr>
              <w:t>0</w:t>
            </w:r>
            <w:r>
              <w:rPr>
                <w:rFonts w:asciiTheme="minorHAnsi" w:eastAsiaTheme="minorEastAsia" w:hAnsiTheme="minorHAnsi" w:cstheme="minorBidi" w:hint="eastAsia"/>
                <w:sz w:val="18"/>
                <w:szCs w:val="18"/>
              </w:rPr>
              <w:t>分。</w:t>
            </w:r>
          </w:p>
        </w:tc>
      </w:tr>
      <w:tr w:rsidR="0035415A" w14:paraId="54012DF4" w14:textId="77777777">
        <w:trPr>
          <w:cantSplit/>
          <w:trHeight w:val="90"/>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624D31E7" w14:textId="77777777" w:rsidR="0035415A" w:rsidRDefault="0035415A">
            <w:pPr>
              <w:jc w:val="center"/>
              <w:rPr>
                <w:rFonts w:asciiTheme="minorHAnsi" w:eastAsiaTheme="minorEastAsia" w:hAnsiTheme="minorHAnsi" w:cstheme="minorBidi"/>
                <w:sz w:val="18"/>
                <w:szCs w:val="18"/>
              </w:rPr>
            </w:pPr>
          </w:p>
        </w:tc>
        <w:tc>
          <w:tcPr>
            <w:tcW w:w="1376" w:type="dxa"/>
            <w:vMerge/>
            <w:tcBorders>
              <w:left w:val="single" w:sz="4" w:space="0" w:color="auto"/>
              <w:right w:val="single" w:sz="4" w:space="0" w:color="auto"/>
            </w:tcBorders>
            <w:vAlign w:val="center"/>
          </w:tcPr>
          <w:p w14:paraId="4680553E"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452FBB2"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3.5.2</w:t>
            </w:r>
          </w:p>
          <w:p w14:paraId="3E8EC324"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社会公益</w:t>
            </w:r>
          </w:p>
        </w:tc>
        <w:tc>
          <w:tcPr>
            <w:tcW w:w="854" w:type="dxa"/>
            <w:tcBorders>
              <w:top w:val="single" w:sz="4" w:space="0" w:color="auto"/>
              <w:left w:val="single" w:sz="4" w:space="0" w:color="auto"/>
              <w:bottom w:val="single" w:sz="4" w:space="0" w:color="auto"/>
              <w:right w:val="single" w:sz="4" w:space="0" w:color="auto"/>
            </w:tcBorders>
            <w:vAlign w:val="center"/>
          </w:tcPr>
          <w:p w14:paraId="05E11000"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262F9443"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评价企业参与公益、慈善事业情况。</w:t>
            </w:r>
          </w:p>
        </w:tc>
        <w:tc>
          <w:tcPr>
            <w:tcW w:w="6055" w:type="dxa"/>
            <w:tcBorders>
              <w:top w:val="single" w:sz="4" w:space="0" w:color="auto"/>
              <w:left w:val="single" w:sz="4" w:space="0" w:color="auto"/>
              <w:bottom w:val="single" w:sz="4" w:space="0" w:color="auto"/>
              <w:right w:val="single" w:sz="8" w:space="0" w:color="auto"/>
            </w:tcBorders>
            <w:vAlign w:val="center"/>
          </w:tcPr>
          <w:p w14:paraId="0A57940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）企业的慈善工作获得县级及以上行政部门表彰，得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5CD6812C"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）企业提供连续三年捐款救助证明，得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分；提供近三年非连续捐款救助证明，得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w:t>
            </w:r>
          </w:p>
          <w:p w14:paraId="2C264A6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本项目得分为上述两部分加总。</w:t>
            </w:r>
          </w:p>
        </w:tc>
      </w:tr>
      <w:tr w:rsidR="0035415A" w14:paraId="6E9E6504"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4C4CCFFE" w14:textId="77777777" w:rsidR="0035415A" w:rsidRDefault="0035415A">
            <w:pPr>
              <w:jc w:val="center"/>
              <w:rPr>
                <w:rFonts w:asciiTheme="minorHAnsi" w:eastAsiaTheme="minorEastAsia" w:hAnsiTheme="minorHAnsi" w:cstheme="minorBidi"/>
                <w:sz w:val="18"/>
                <w:szCs w:val="18"/>
              </w:rPr>
            </w:pPr>
          </w:p>
        </w:tc>
        <w:tc>
          <w:tcPr>
            <w:tcW w:w="1376" w:type="dxa"/>
            <w:vMerge/>
            <w:tcBorders>
              <w:left w:val="single" w:sz="4" w:space="0" w:color="auto"/>
              <w:bottom w:val="single" w:sz="4" w:space="0" w:color="auto"/>
              <w:right w:val="single" w:sz="4" w:space="0" w:color="auto"/>
            </w:tcBorders>
            <w:vAlign w:val="center"/>
          </w:tcPr>
          <w:p w14:paraId="39D421C2"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A1FEB31"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3</w:t>
            </w:r>
            <w:r>
              <w:rPr>
                <w:rFonts w:asciiTheme="minorHAnsi" w:eastAsiaTheme="minorEastAsia" w:hAnsiTheme="minorHAnsi" w:cstheme="minorBidi"/>
                <w:sz w:val="18"/>
                <w:szCs w:val="18"/>
              </w:rPr>
              <w:t>.5.3</w:t>
            </w:r>
          </w:p>
          <w:p w14:paraId="558E76DD"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信用承诺</w:t>
            </w:r>
          </w:p>
        </w:tc>
        <w:tc>
          <w:tcPr>
            <w:tcW w:w="854" w:type="dxa"/>
            <w:tcBorders>
              <w:top w:val="single" w:sz="4" w:space="0" w:color="auto"/>
              <w:left w:val="single" w:sz="4" w:space="0" w:color="auto"/>
              <w:bottom w:val="single" w:sz="4" w:space="0" w:color="auto"/>
              <w:right w:val="single" w:sz="4" w:space="0" w:color="auto"/>
            </w:tcBorders>
            <w:vAlign w:val="center"/>
          </w:tcPr>
          <w:p w14:paraId="5572E1BD"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334AE741"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评价企业向社会公开承诺情况。</w:t>
            </w:r>
          </w:p>
        </w:tc>
        <w:tc>
          <w:tcPr>
            <w:tcW w:w="6055" w:type="dxa"/>
            <w:tcBorders>
              <w:top w:val="single" w:sz="4" w:space="0" w:color="auto"/>
              <w:left w:val="single" w:sz="4" w:space="0" w:color="auto"/>
              <w:bottom w:val="single" w:sz="4" w:space="0" w:color="auto"/>
              <w:right w:val="single" w:sz="8" w:space="0" w:color="auto"/>
            </w:tcBorders>
            <w:vAlign w:val="center"/>
          </w:tcPr>
          <w:p w14:paraId="5B96690D"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企业通过企业官网、发布会、媒体、信用信息平台等便于公众知晓的方式向社会公开</w:t>
            </w:r>
            <w:proofErr w:type="gramStart"/>
            <w:r>
              <w:rPr>
                <w:rFonts w:asciiTheme="minorHAnsi" w:eastAsiaTheme="minorEastAsia" w:hAnsiTheme="minorHAnsi" w:cstheme="minorBidi" w:hint="eastAsia"/>
                <w:sz w:val="18"/>
                <w:szCs w:val="18"/>
              </w:rPr>
              <w:t>作出</w:t>
            </w:r>
            <w:proofErr w:type="gramEnd"/>
            <w:r>
              <w:rPr>
                <w:rFonts w:asciiTheme="minorHAnsi" w:eastAsiaTheme="minorEastAsia" w:hAnsiTheme="minorHAnsi" w:cstheme="minorBidi" w:hint="eastAsia"/>
                <w:sz w:val="18"/>
                <w:szCs w:val="18"/>
              </w:rPr>
              <w:t>信用承诺，得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3448F9A8"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其中，公开承诺应包括承诺人、承诺内容和投诉或举报电话。</w:t>
            </w:r>
          </w:p>
        </w:tc>
      </w:tr>
      <w:tr w:rsidR="0035415A" w14:paraId="4D36E422"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4D963321" w14:textId="77777777" w:rsidR="0035415A" w:rsidRDefault="0035415A">
            <w:pPr>
              <w:jc w:val="center"/>
              <w:rPr>
                <w:rFonts w:asciiTheme="minorHAnsi" w:eastAsiaTheme="minorEastAsia" w:hAnsiTheme="minorHAnsi" w:cstheme="minorBidi"/>
                <w:sz w:val="18"/>
                <w:szCs w:val="18"/>
              </w:rPr>
            </w:pPr>
          </w:p>
        </w:tc>
        <w:tc>
          <w:tcPr>
            <w:tcW w:w="1376" w:type="dxa"/>
            <w:vMerge w:val="restart"/>
            <w:tcBorders>
              <w:top w:val="single" w:sz="4" w:space="0" w:color="auto"/>
              <w:left w:val="single" w:sz="4" w:space="0" w:color="auto"/>
              <w:bottom w:val="single" w:sz="4" w:space="0" w:color="auto"/>
              <w:right w:val="single" w:sz="4" w:space="0" w:color="auto"/>
            </w:tcBorders>
            <w:vAlign w:val="center"/>
          </w:tcPr>
          <w:p w14:paraId="16344964"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3.</w:t>
            </w:r>
            <w:r>
              <w:rPr>
                <w:rFonts w:asciiTheme="minorHAnsi" w:eastAsiaTheme="minorEastAsia" w:hAnsiTheme="minorHAnsi" w:cstheme="minorBidi" w:hint="eastAsia"/>
                <w:sz w:val="18"/>
                <w:szCs w:val="18"/>
              </w:rPr>
              <w:t>6</w:t>
            </w:r>
          </w:p>
          <w:p w14:paraId="6EF030FB"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社会荣誉</w:t>
            </w:r>
          </w:p>
          <w:p w14:paraId="0F93FB1B"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3B150045"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3.6.1</w:t>
            </w:r>
          </w:p>
          <w:p w14:paraId="2FB8192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企业荣誉</w:t>
            </w:r>
          </w:p>
        </w:tc>
        <w:tc>
          <w:tcPr>
            <w:tcW w:w="854" w:type="dxa"/>
            <w:tcBorders>
              <w:top w:val="single" w:sz="4" w:space="0" w:color="auto"/>
              <w:left w:val="single" w:sz="4" w:space="0" w:color="auto"/>
              <w:bottom w:val="single" w:sz="4" w:space="0" w:color="auto"/>
              <w:right w:val="single" w:sz="4" w:space="0" w:color="auto"/>
            </w:tcBorders>
            <w:vAlign w:val="center"/>
          </w:tcPr>
          <w:p w14:paraId="44A9CEF3"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c>
          <w:tcPr>
            <w:tcW w:w="3965" w:type="dxa"/>
            <w:vMerge w:val="restart"/>
            <w:tcBorders>
              <w:top w:val="single" w:sz="4" w:space="0" w:color="auto"/>
              <w:left w:val="single" w:sz="4" w:space="0" w:color="auto"/>
              <w:bottom w:val="single" w:sz="4" w:space="0" w:color="auto"/>
              <w:right w:val="single" w:sz="4" w:space="0" w:color="auto"/>
            </w:tcBorders>
            <w:vAlign w:val="center"/>
          </w:tcPr>
          <w:p w14:paraId="41751BB1"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企业及开发项目所获荣誉是社会对企业的一种肯定，可以从侧面反映企业的信用情况。</w:t>
            </w:r>
          </w:p>
        </w:tc>
        <w:tc>
          <w:tcPr>
            <w:tcW w:w="6055" w:type="dxa"/>
            <w:tcBorders>
              <w:top w:val="single" w:sz="4" w:space="0" w:color="auto"/>
              <w:left w:val="single" w:sz="4" w:space="0" w:color="auto"/>
              <w:bottom w:val="single" w:sz="4" w:space="0" w:color="auto"/>
              <w:right w:val="single" w:sz="8" w:space="0" w:color="auto"/>
            </w:tcBorders>
            <w:vAlign w:val="center"/>
          </w:tcPr>
          <w:p w14:paraId="44B41FDB"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企业近三年获得省部级以上行政主管部门或全国性行业协会表彰、授牌得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分；获得地级市以上人民政府、行政主管部门表彰、授牌</w:t>
            </w:r>
            <w:proofErr w:type="gramStart"/>
            <w:r>
              <w:rPr>
                <w:rFonts w:asciiTheme="minorHAnsi" w:eastAsiaTheme="minorEastAsia" w:hAnsiTheme="minorHAnsi" w:cstheme="minorBidi" w:hint="eastAsia"/>
                <w:sz w:val="18"/>
                <w:szCs w:val="18"/>
              </w:rPr>
              <w:t>每项目</w:t>
            </w:r>
            <w:proofErr w:type="gramEnd"/>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分，总分</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r>
      <w:tr w:rsidR="0035415A" w14:paraId="288B4E56" w14:textId="77777777">
        <w:trPr>
          <w:cantSplit/>
          <w:jc w:val="center"/>
        </w:trPr>
        <w:tc>
          <w:tcPr>
            <w:tcW w:w="1166" w:type="dxa"/>
            <w:vMerge/>
            <w:tcBorders>
              <w:top w:val="single" w:sz="4" w:space="0" w:color="auto"/>
              <w:left w:val="single" w:sz="8" w:space="0" w:color="auto"/>
              <w:bottom w:val="single" w:sz="8" w:space="0" w:color="auto"/>
              <w:right w:val="single" w:sz="4" w:space="0" w:color="auto"/>
            </w:tcBorders>
            <w:vAlign w:val="center"/>
          </w:tcPr>
          <w:p w14:paraId="4DDAC272" w14:textId="77777777" w:rsidR="0035415A" w:rsidRDefault="0035415A">
            <w:pPr>
              <w:jc w:val="center"/>
              <w:rPr>
                <w:rFonts w:asciiTheme="minorHAnsi" w:eastAsiaTheme="minorEastAsia" w:hAnsiTheme="minorHAnsi" w:cstheme="minorBidi"/>
                <w:sz w:val="18"/>
                <w:szCs w:val="18"/>
              </w:rPr>
            </w:pPr>
          </w:p>
        </w:tc>
        <w:tc>
          <w:tcPr>
            <w:tcW w:w="1376" w:type="dxa"/>
            <w:vMerge/>
            <w:tcBorders>
              <w:top w:val="single" w:sz="4" w:space="0" w:color="auto"/>
              <w:left w:val="single" w:sz="4" w:space="0" w:color="auto"/>
              <w:bottom w:val="single" w:sz="8" w:space="0" w:color="auto"/>
              <w:right w:val="single" w:sz="4" w:space="0" w:color="auto"/>
            </w:tcBorders>
            <w:vAlign w:val="center"/>
          </w:tcPr>
          <w:p w14:paraId="5C625DF0" w14:textId="77777777" w:rsidR="0035415A" w:rsidRDefault="0035415A">
            <w:pPr>
              <w:jc w:val="center"/>
              <w:rPr>
                <w:rFonts w:asciiTheme="minorHAnsi" w:eastAsiaTheme="minorEastAsia" w:hAnsiTheme="minorHAnsi" w:cstheme="minorBidi"/>
                <w:sz w:val="18"/>
                <w:szCs w:val="18"/>
              </w:rPr>
            </w:pPr>
          </w:p>
        </w:tc>
        <w:tc>
          <w:tcPr>
            <w:tcW w:w="1701" w:type="dxa"/>
            <w:tcBorders>
              <w:top w:val="single" w:sz="4" w:space="0" w:color="auto"/>
              <w:left w:val="single" w:sz="4" w:space="0" w:color="auto"/>
              <w:bottom w:val="single" w:sz="8" w:space="0" w:color="auto"/>
              <w:right w:val="single" w:sz="4" w:space="0" w:color="auto"/>
            </w:tcBorders>
            <w:vAlign w:val="center"/>
          </w:tcPr>
          <w:p w14:paraId="44BAA7D0"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3.6.2</w:t>
            </w:r>
          </w:p>
          <w:p w14:paraId="47C4B86B"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项目荣誉</w:t>
            </w:r>
          </w:p>
        </w:tc>
        <w:tc>
          <w:tcPr>
            <w:tcW w:w="854" w:type="dxa"/>
            <w:tcBorders>
              <w:top w:val="single" w:sz="4" w:space="0" w:color="auto"/>
              <w:left w:val="single" w:sz="4" w:space="0" w:color="auto"/>
              <w:bottom w:val="single" w:sz="8" w:space="0" w:color="auto"/>
              <w:right w:val="single" w:sz="4" w:space="0" w:color="auto"/>
            </w:tcBorders>
            <w:vAlign w:val="center"/>
          </w:tcPr>
          <w:p w14:paraId="60E3C340"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c>
          <w:tcPr>
            <w:tcW w:w="3965" w:type="dxa"/>
            <w:vMerge/>
            <w:tcBorders>
              <w:top w:val="single" w:sz="4" w:space="0" w:color="auto"/>
              <w:left w:val="single" w:sz="4" w:space="0" w:color="auto"/>
              <w:bottom w:val="single" w:sz="8" w:space="0" w:color="auto"/>
              <w:right w:val="single" w:sz="4" w:space="0" w:color="auto"/>
            </w:tcBorders>
            <w:vAlign w:val="center"/>
          </w:tcPr>
          <w:p w14:paraId="1CC65B0C" w14:textId="77777777" w:rsidR="0035415A" w:rsidRDefault="0035415A">
            <w:pPr>
              <w:jc w:val="left"/>
              <w:rPr>
                <w:rFonts w:asciiTheme="minorHAnsi" w:eastAsiaTheme="minorEastAsia" w:hAnsiTheme="minorHAnsi" w:cstheme="minorBidi"/>
                <w:sz w:val="18"/>
                <w:szCs w:val="18"/>
              </w:rPr>
            </w:pPr>
          </w:p>
        </w:tc>
        <w:tc>
          <w:tcPr>
            <w:tcW w:w="6055" w:type="dxa"/>
            <w:tcBorders>
              <w:top w:val="single" w:sz="4" w:space="0" w:color="auto"/>
              <w:left w:val="single" w:sz="4" w:space="0" w:color="auto"/>
              <w:bottom w:val="single" w:sz="8" w:space="0" w:color="auto"/>
              <w:right w:val="single" w:sz="8" w:space="0" w:color="auto"/>
            </w:tcBorders>
            <w:vAlign w:val="center"/>
          </w:tcPr>
          <w:p w14:paraId="009FAB50"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企业近三年开发项目获得广厦奖、房地产科学技术奖、鲁班奖、詹天佑奖，</w:t>
            </w:r>
            <w:proofErr w:type="gramStart"/>
            <w:r>
              <w:rPr>
                <w:rFonts w:asciiTheme="minorHAnsi" w:eastAsiaTheme="minorEastAsia" w:hAnsiTheme="minorHAnsi" w:cstheme="minorBidi" w:hint="eastAsia"/>
                <w:sz w:val="18"/>
                <w:szCs w:val="18"/>
              </w:rPr>
              <w:t>每项目</w:t>
            </w:r>
            <w:proofErr w:type="gramEnd"/>
            <w:r>
              <w:rPr>
                <w:rFonts w:asciiTheme="minorHAnsi" w:eastAsiaTheme="minorEastAsia" w:hAnsiTheme="minorHAnsi" w:cstheme="minorBidi" w:hint="eastAsia"/>
                <w:sz w:val="18"/>
                <w:szCs w:val="18"/>
              </w:rPr>
              <w:t>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087BC84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企业近三年开发项目获得省、自治区、直辖市住房城乡建设领域最高奖项或获得地级市以上人民政府、住房城乡建设主管部门表彰，每项得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w:t>
            </w:r>
          </w:p>
          <w:p w14:paraId="0FBEDF5B"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总分</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r>
      <w:tr w:rsidR="0035415A" w14:paraId="39224029" w14:textId="77777777">
        <w:trPr>
          <w:cantSplit/>
          <w:trHeight w:val="180"/>
          <w:jc w:val="center"/>
        </w:trPr>
        <w:tc>
          <w:tcPr>
            <w:tcW w:w="1166" w:type="dxa"/>
            <w:vMerge w:val="restart"/>
            <w:tcBorders>
              <w:top w:val="single" w:sz="4" w:space="0" w:color="auto"/>
              <w:left w:val="single" w:sz="8" w:space="0" w:color="auto"/>
              <w:right w:val="single" w:sz="4" w:space="0" w:color="auto"/>
            </w:tcBorders>
            <w:vAlign w:val="center"/>
          </w:tcPr>
          <w:p w14:paraId="0348F1C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 xml:space="preserve">4. </w:t>
            </w:r>
            <w:r>
              <w:rPr>
                <w:rFonts w:asciiTheme="minorHAnsi" w:eastAsiaTheme="minorEastAsia" w:hAnsiTheme="minorHAnsi" w:cstheme="minorBidi" w:hint="eastAsia"/>
                <w:sz w:val="18"/>
                <w:szCs w:val="18"/>
              </w:rPr>
              <w:t>加分项</w:t>
            </w:r>
          </w:p>
        </w:tc>
        <w:tc>
          <w:tcPr>
            <w:tcW w:w="1376" w:type="dxa"/>
            <w:tcBorders>
              <w:top w:val="single" w:sz="4" w:space="0" w:color="auto"/>
              <w:left w:val="single" w:sz="4" w:space="0" w:color="auto"/>
              <w:bottom w:val="single" w:sz="4" w:space="0" w:color="auto"/>
              <w:right w:val="single" w:sz="4" w:space="0" w:color="auto"/>
            </w:tcBorders>
            <w:vAlign w:val="center"/>
          </w:tcPr>
          <w:p w14:paraId="207027CA"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4.</w:t>
            </w:r>
            <w:r>
              <w:rPr>
                <w:rFonts w:asciiTheme="minorHAnsi" w:eastAsiaTheme="minorEastAsia" w:hAnsiTheme="minorHAnsi" w:cstheme="minorBidi" w:hint="eastAsia"/>
                <w:sz w:val="18"/>
                <w:szCs w:val="18"/>
              </w:rPr>
              <w:t>1</w:t>
            </w:r>
          </w:p>
          <w:p w14:paraId="09B32CF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企业参与特殊项目</w:t>
            </w:r>
          </w:p>
          <w:p w14:paraId="39D0D7E2"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1BF6DAA0" w14:textId="77777777" w:rsidR="0035415A" w:rsidRDefault="0035415A">
            <w:pPr>
              <w:jc w:val="center"/>
              <w:rPr>
                <w:rFonts w:asciiTheme="minorHAnsi" w:eastAsiaTheme="minorEastAsia" w:hAnsiTheme="minorHAnsi" w:cstheme="minorBidi"/>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14:paraId="682DDBED"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425B0EF4"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评价企业参与保障性住房、租赁住房项目的建设或运营的情况。</w:t>
            </w:r>
          </w:p>
        </w:tc>
        <w:tc>
          <w:tcPr>
            <w:tcW w:w="6055" w:type="dxa"/>
            <w:tcBorders>
              <w:top w:val="single" w:sz="4" w:space="0" w:color="auto"/>
              <w:left w:val="single" w:sz="4" w:space="0" w:color="auto"/>
              <w:bottom w:val="single" w:sz="4" w:space="0" w:color="auto"/>
              <w:right w:val="single" w:sz="8" w:space="0" w:color="auto"/>
            </w:tcBorders>
            <w:vAlign w:val="center"/>
          </w:tcPr>
          <w:p w14:paraId="3A598A25"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企业近三年通过直接投资或委托代建方式参与保障性住房、租赁住房项目的建设或运营，得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18158FAD"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企业通过间接投资、参股等方式参与保障性住房、租赁住房项目的建设或运营，得</w:t>
            </w:r>
            <w:r>
              <w:rPr>
                <w:rFonts w:asciiTheme="minorHAnsi" w:eastAsiaTheme="minorEastAsia" w:hAnsiTheme="minorHAnsi" w:cstheme="minorBidi" w:hint="eastAsia"/>
                <w:sz w:val="18"/>
                <w:szCs w:val="18"/>
              </w:rPr>
              <w:t>0.8</w:t>
            </w:r>
            <w:r>
              <w:rPr>
                <w:rFonts w:asciiTheme="minorHAnsi" w:eastAsiaTheme="minorEastAsia" w:hAnsiTheme="minorHAnsi" w:cstheme="minorBidi" w:hint="eastAsia"/>
                <w:sz w:val="18"/>
                <w:szCs w:val="18"/>
              </w:rPr>
              <w:t>分；</w:t>
            </w:r>
          </w:p>
          <w:p w14:paraId="0E359859"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参与过保障性住房、租赁住房项目的建设或运营的投标但未中标，得</w:t>
            </w:r>
            <w:r>
              <w:rPr>
                <w:rFonts w:asciiTheme="minorHAnsi" w:eastAsiaTheme="minorEastAsia" w:hAnsiTheme="minorHAnsi" w:cstheme="minorBidi" w:hint="eastAsia"/>
                <w:sz w:val="18"/>
                <w:szCs w:val="18"/>
              </w:rPr>
              <w:t>0.</w:t>
            </w:r>
            <w:r>
              <w:rPr>
                <w:rFonts w:asciiTheme="minorHAnsi" w:eastAsiaTheme="minorEastAsia" w:hAnsiTheme="minorHAnsi" w:cstheme="minorBidi"/>
                <w:sz w:val="18"/>
                <w:szCs w:val="18"/>
              </w:rPr>
              <w:t>2</w:t>
            </w:r>
            <w:r>
              <w:rPr>
                <w:rFonts w:asciiTheme="minorHAnsi" w:eastAsiaTheme="minorEastAsia" w:hAnsiTheme="minorHAnsi" w:cstheme="minorBidi" w:hint="eastAsia"/>
                <w:sz w:val="18"/>
                <w:szCs w:val="18"/>
              </w:rPr>
              <w:t>分。</w:t>
            </w:r>
          </w:p>
        </w:tc>
      </w:tr>
      <w:tr w:rsidR="0035415A" w14:paraId="60CC280C"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720436B7" w14:textId="77777777" w:rsidR="0035415A" w:rsidRDefault="0035415A">
            <w:pPr>
              <w:jc w:val="center"/>
              <w:rPr>
                <w:rFonts w:asciiTheme="minorHAnsi" w:eastAsiaTheme="minorEastAsia" w:hAnsiTheme="minorHAnsi" w:cstheme="minorBidi"/>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26B3F1CF"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4.</w:t>
            </w:r>
            <w:r>
              <w:rPr>
                <w:rFonts w:asciiTheme="minorHAnsi" w:eastAsiaTheme="minorEastAsia" w:hAnsiTheme="minorHAnsi" w:cstheme="minorBidi" w:hint="eastAsia"/>
                <w:sz w:val="18"/>
                <w:szCs w:val="18"/>
              </w:rPr>
              <w:t>2</w:t>
            </w:r>
          </w:p>
          <w:p w14:paraId="60505841"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绿色建筑与</w:t>
            </w:r>
          </w:p>
          <w:p w14:paraId="0556AF73"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节能减排</w:t>
            </w:r>
          </w:p>
          <w:p w14:paraId="69958F97"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29B27244" w14:textId="77777777" w:rsidR="0035415A" w:rsidRDefault="0035415A">
            <w:pPr>
              <w:jc w:val="center"/>
              <w:rPr>
                <w:rFonts w:asciiTheme="minorHAnsi" w:eastAsiaTheme="minorEastAsia" w:hAnsiTheme="minorHAnsi" w:cstheme="minorBidi"/>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14:paraId="3DD66F73"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667E52F6"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评价企业在装配式建筑技术、绿色建筑方面的执行情况。</w:t>
            </w:r>
          </w:p>
        </w:tc>
        <w:tc>
          <w:tcPr>
            <w:tcW w:w="6055" w:type="dxa"/>
            <w:tcBorders>
              <w:top w:val="single" w:sz="4" w:space="0" w:color="auto"/>
              <w:left w:val="single" w:sz="4" w:space="0" w:color="auto"/>
              <w:bottom w:val="single" w:sz="4" w:space="0" w:color="auto"/>
              <w:right w:val="single" w:sz="8" w:space="0" w:color="auto"/>
            </w:tcBorders>
            <w:vAlign w:val="center"/>
          </w:tcPr>
          <w:p w14:paraId="17418C73"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）采用装配式建筑技术进行建设且装配率达到当地政府要求，得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p w14:paraId="48B5CC8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）获得省部级以上行政主管部门认定的绿色节能建筑证书，得</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分；获得地级市行政主管部门认定的绿色节能建筑证书，得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w:t>
            </w:r>
          </w:p>
          <w:p w14:paraId="01742C1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本项目得分为上述两部分加总。</w:t>
            </w:r>
          </w:p>
        </w:tc>
      </w:tr>
      <w:tr w:rsidR="0035415A" w14:paraId="5D686C4C"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13294F52" w14:textId="77777777" w:rsidR="0035415A" w:rsidRDefault="0035415A">
            <w:pPr>
              <w:jc w:val="center"/>
              <w:rPr>
                <w:rFonts w:asciiTheme="minorHAnsi" w:eastAsiaTheme="minorEastAsia" w:hAnsiTheme="minorHAnsi" w:cstheme="minorBidi"/>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32D4BE81"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4.</w:t>
            </w:r>
            <w:r>
              <w:rPr>
                <w:rFonts w:asciiTheme="minorHAnsi" w:eastAsiaTheme="minorEastAsia" w:hAnsiTheme="minorHAnsi" w:cstheme="minorBidi" w:hint="eastAsia"/>
                <w:sz w:val="18"/>
                <w:szCs w:val="18"/>
              </w:rPr>
              <w:t>3</w:t>
            </w:r>
          </w:p>
          <w:p w14:paraId="269D19CE"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企业科技创新与科研成果</w:t>
            </w:r>
          </w:p>
          <w:p w14:paraId="73F3BD7D"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68B95374" w14:textId="77777777" w:rsidR="0035415A" w:rsidRDefault="0035415A">
            <w:pPr>
              <w:jc w:val="center"/>
              <w:rPr>
                <w:rFonts w:asciiTheme="minorHAnsi" w:eastAsiaTheme="minorEastAsia" w:hAnsiTheme="minorHAnsi" w:cstheme="minorBidi"/>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14:paraId="28C36A79"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4" w:space="0" w:color="auto"/>
              <w:right w:val="single" w:sz="4" w:space="0" w:color="auto"/>
            </w:tcBorders>
            <w:vAlign w:val="center"/>
          </w:tcPr>
          <w:p w14:paraId="6BD87BEC"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评价企业在解决房屋质量通病和科技创新层面的理论成果与应用情况。</w:t>
            </w:r>
          </w:p>
        </w:tc>
        <w:tc>
          <w:tcPr>
            <w:tcW w:w="6055" w:type="dxa"/>
            <w:tcBorders>
              <w:top w:val="single" w:sz="4" w:space="0" w:color="auto"/>
              <w:left w:val="single" w:sz="4" w:space="0" w:color="auto"/>
              <w:bottom w:val="single" w:sz="4" w:space="0" w:color="auto"/>
              <w:right w:val="single" w:sz="8" w:space="0" w:color="auto"/>
            </w:tcBorders>
            <w:vAlign w:val="center"/>
          </w:tcPr>
          <w:p w14:paraId="6B16F003" w14:textId="77777777" w:rsidR="0035415A" w:rsidRDefault="00000000">
            <w:pPr>
              <w:numPr>
                <w:ilvl w:val="0"/>
                <w:numId w:val="28"/>
              </w:num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企业近三年在解决房屋质量通病方面的理论研究、技术创新、产品应用或取得相关专利，提供相应证明或记录，得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w:t>
            </w:r>
          </w:p>
          <w:p w14:paraId="6A0296DA" w14:textId="77777777" w:rsidR="0035415A" w:rsidRDefault="00000000">
            <w:pPr>
              <w:numPr>
                <w:ilvl w:val="255"/>
                <w:numId w:val="0"/>
              </w:num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其中，房屋质量通病一般包括：渗水漏水、墙皮空鼓开裂、隔音效果差、门窗密封性差、尺寸不精准等。</w:t>
            </w:r>
          </w:p>
          <w:p w14:paraId="00621B7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）企业近三年开发项目全生命周期中运用大数据平台</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建筑信息模型</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智能建造</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智慧建筑等，提供相应证明或记录，得</w:t>
            </w:r>
            <w:r>
              <w:rPr>
                <w:rFonts w:asciiTheme="minorHAnsi" w:eastAsiaTheme="minorEastAsia" w:hAnsiTheme="minorHAnsi" w:cstheme="minorBidi" w:hint="eastAsia"/>
                <w:sz w:val="18"/>
                <w:szCs w:val="18"/>
              </w:rPr>
              <w:t>0.5</w:t>
            </w:r>
            <w:r>
              <w:rPr>
                <w:rFonts w:asciiTheme="minorHAnsi" w:eastAsiaTheme="minorEastAsia" w:hAnsiTheme="minorHAnsi" w:cstheme="minorBidi" w:hint="eastAsia"/>
                <w:sz w:val="18"/>
                <w:szCs w:val="18"/>
              </w:rPr>
              <w:t>分；</w:t>
            </w:r>
          </w:p>
          <w:p w14:paraId="4EC457C8"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本项目得分为上述两部分加总。</w:t>
            </w:r>
          </w:p>
        </w:tc>
      </w:tr>
      <w:tr w:rsidR="0035415A" w14:paraId="61060D1F" w14:textId="77777777">
        <w:trPr>
          <w:cantSplit/>
          <w:jc w:val="center"/>
        </w:trPr>
        <w:tc>
          <w:tcPr>
            <w:tcW w:w="1166" w:type="dxa"/>
            <w:vMerge/>
            <w:tcBorders>
              <w:top w:val="single" w:sz="4" w:space="0" w:color="auto"/>
              <w:left w:val="single" w:sz="8" w:space="0" w:color="auto"/>
              <w:bottom w:val="single" w:sz="4" w:space="0" w:color="auto"/>
              <w:right w:val="single" w:sz="4" w:space="0" w:color="auto"/>
            </w:tcBorders>
            <w:vAlign w:val="center"/>
          </w:tcPr>
          <w:p w14:paraId="0A0F8345" w14:textId="77777777" w:rsidR="0035415A" w:rsidRDefault="0035415A">
            <w:pPr>
              <w:jc w:val="center"/>
              <w:rPr>
                <w:rFonts w:asciiTheme="minorHAnsi" w:eastAsiaTheme="minorEastAsia" w:hAnsiTheme="minorHAnsi" w:cstheme="minorBidi"/>
                <w:sz w:val="18"/>
                <w:szCs w:val="18"/>
              </w:rPr>
            </w:pPr>
          </w:p>
        </w:tc>
        <w:tc>
          <w:tcPr>
            <w:tcW w:w="1376" w:type="dxa"/>
            <w:tcBorders>
              <w:top w:val="single" w:sz="4" w:space="0" w:color="auto"/>
              <w:left w:val="single" w:sz="4" w:space="0" w:color="auto"/>
              <w:bottom w:val="single" w:sz="8" w:space="0" w:color="auto"/>
              <w:right w:val="single" w:sz="4" w:space="0" w:color="auto"/>
            </w:tcBorders>
            <w:vAlign w:val="center"/>
          </w:tcPr>
          <w:p w14:paraId="102B9183"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4</w:t>
            </w:r>
            <w:r>
              <w:rPr>
                <w:rFonts w:asciiTheme="minorHAnsi" w:eastAsiaTheme="minorEastAsia" w:hAnsiTheme="minorHAnsi" w:cstheme="minorBidi"/>
                <w:sz w:val="18"/>
                <w:szCs w:val="18"/>
              </w:rPr>
              <w:t>.</w:t>
            </w:r>
            <w:r>
              <w:rPr>
                <w:rFonts w:asciiTheme="minorHAnsi" w:eastAsiaTheme="minorEastAsia" w:hAnsiTheme="minorHAnsi" w:cstheme="minorBidi" w:hint="eastAsia"/>
                <w:sz w:val="18"/>
                <w:szCs w:val="18"/>
              </w:rPr>
              <w:t>4</w:t>
            </w:r>
          </w:p>
          <w:p w14:paraId="7279FED7"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企业风险管理与保险保障</w:t>
            </w:r>
          </w:p>
          <w:p w14:paraId="4D327D68"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分）</w:t>
            </w:r>
          </w:p>
        </w:tc>
        <w:tc>
          <w:tcPr>
            <w:tcW w:w="1701" w:type="dxa"/>
            <w:tcBorders>
              <w:top w:val="single" w:sz="4" w:space="0" w:color="auto"/>
              <w:left w:val="single" w:sz="4" w:space="0" w:color="auto"/>
              <w:bottom w:val="single" w:sz="8" w:space="0" w:color="auto"/>
              <w:right w:val="single" w:sz="4" w:space="0" w:color="auto"/>
            </w:tcBorders>
            <w:vAlign w:val="center"/>
          </w:tcPr>
          <w:p w14:paraId="2501F000" w14:textId="77777777" w:rsidR="0035415A" w:rsidRDefault="0035415A">
            <w:pPr>
              <w:jc w:val="center"/>
              <w:rPr>
                <w:rFonts w:asciiTheme="minorHAnsi" w:eastAsiaTheme="minorEastAsia" w:hAnsiTheme="minorHAnsi" w:cstheme="minorBidi"/>
                <w:sz w:val="18"/>
                <w:szCs w:val="18"/>
              </w:rPr>
            </w:pPr>
          </w:p>
        </w:tc>
        <w:tc>
          <w:tcPr>
            <w:tcW w:w="854" w:type="dxa"/>
            <w:tcBorders>
              <w:top w:val="single" w:sz="4" w:space="0" w:color="auto"/>
              <w:left w:val="single" w:sz="4" w:space="0" w:color="auto"/>
              <w:bottom w:val="single" w:sz="8" w:space="0" w:color="auto"/>
              <w:right w:val="single" w:sz="4" w:space="0" w:color="auto"/>
            </w:tcBorders>
            <w:vAlign w:val="center"/>
          </w:tcPr>
          <w:p w14:paraId="5660F515"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1</w:t>
            </w:r>
            <w:r>
              <w:rPr>
                <w:rFonts w:asciiTheme="minorHAnsi" w:eastAsiaTheme="minorEastAsia" w:hAnsiTheme="minorHAnsi" w:cstheme="minorBidi" w:hint="eastAsia"/>
                <w:sz w:val="18"/>
                <w:szCs w:val="18"/>
              </w:rPr>
              <w:t>分</w:t>
            </w:r>
          </w:p>
        </w:tc>
        <w:tc>
          <w:tcPr>
            <w:tcW w:w="3965" w:type="dxa"/>
            <w:tcBorders>
              <w:top w:val="single" w:sz="4" w:space="0" w:color="auto"/>
              <w:left w:val="single" w:sz="4" w:space="0" w:color="auto"/>
              <w:bottom w:val="single" w:sz="8" w:space="0" w:color="auto"/>
              <w:right w:val="single" w:sz="4" w:space="0" w:color="auto"/>
            </w:tcBorders>
            <w:vAlign w:val="center"/>
          </w:tcPr>
          <w:p w14:paraId="60A71299" w14:textId="77777777" w:rsidR="0035415A" w:rsidRDefault="00000000">
            <w:pPr>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评价企业通过保险措施完善风险管理、提高财务保障的情况。</w:t>
            </w:r>
          </w:p>
        </w:tc>
        <w:tc>
          <w:tcPr>
            <w:tcW w:w="6055" w:type="dxa"/>
            <w:tcBorders>
              <w:top w:val="single" w:sz="4" w:space="0" w:color="auto"/>
              <w:left w:val="single" w:sz="4" w:space="0" w:color="auto"/>
              <w:bottom w:val="single" w:sz="8" w:space="0" w:color="auto"/>
              <w:right w:val="single" w:sz="8" w:space="0" w:color="auto"/>
            </w:tcBorders>
            <w:vAlign w:val="center"/>
          </w:tcPr>
          <w:p w14:paraId="04816DF9"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）企业具有有效的财产一切</w:t>
            </w:r>
            <w:proofErr w:type="gramStart"/>
            <w:r>
              <w:rPr>
                <w:rFonts w:asciiTheme="minorHAnsi" w:eastAsiaTheme="minorEastAsia" w:hAnsiTheme="minorHAnsi" w:cstheme="minorBidi" w:hint="eastAsia"/>
                <w:sz w:val="18"/>
                <w:szCs w:val="18"/>
              </w:rPr>
              <w:t>险保障得</w:t>
            </w:r>
            <w:proofErr w:type="gramEnd"/>
            <w:r>
              <w:rPr>
                <w:rFonts w:asciiTheme="minorHAnsi" w:eastAsiaTheme="minorEastAsia" w:hAnsiTheme="minorHAnsi" w:cstheme="minorBidi" w:hint="eastAsia"/>
                <w:sz w:val="18"/>
                <w:szCs w:val="18"/>
              </w:rPr>
              <w:t>0.4</w:t>
            </w:r>
            <w:r>
              <w:rPr>
                <w:rFonts w:asciiTheme="minorHAnsi" w:eastAsiaTheme="minorEastAsia" w:hAnsiTheme="minorHAnsi" w:cstheme="minorBidi" w:hint="eastAsia"/>
                <w:sz w:val="18"/>
                <w:szCs w:val="18"/>
              </w:rPr>
              <w:t>分；</w:t>
            </w:r>
          </w:p>
          <w:p w14:paraId="74649CA1"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）企业具有有效的公众责任</w:t>
            </w:r>
            <w:proofErr w:type="gramStart"/>
            <w:r>
              <w:rPr>
                <w:rFonts w:asciiTheme="minorHAnsi" w:eastAsiaTheme="minorEastAsia" w:hAnsiTheme="minorHAnsi" w:cstheme="minorBidi" w:hint="eastAsia"/>
                <w:sz w:val="18"/>
                <w:szCs w:val="18"/>
              </w:rPr>
              <w:t>险保障得</w:t>
            </w:r>
            <w:proofErr w:type="gramEnd"/>
            <w:r>
              <w:rPr>
                <w:rFonts w:asciiTheme="minorHAnsi" w:eastAsiaTheme="minorEastAsia" w:hAnsiTheme="minorHAnsi" w:cstheme="minorBidi" w:hint="eastAsia"/>
                <w:sz w:val="18"/>
                <w:szCs w:val="18"/>
              </w:rPr>
              <w:t>0.2</w:t>
            </w:r>
            <w:r>
              <w:rPr>
                <w:rFonts w:asciiTheme="minorHAnsi" w:eastAsiaTheme="minorEastAsia" w:hAnsiTheme="minorHAnsi" w:cstheme="minorBidi" w:hint="eastAsia"/>
                <w:sz w:val="18"/>
                <w:szCs w:val="18"/>
              </w:rPr>
              <w:t>分；</w:t>
            </w:r>
          </w:p>
          <w:p w14:paraId="52D9CF03"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）企业具有有效的雇主责任险或安全生产责任</w:t>
            </w:r>
            <w:proofErr w:type="gramStart"/>
            <w:r>
              <w:rPr>
                <w:rFonts w:asciiTheme="minorHAnsi" w:eastAsiaTheme="minorEastAsia" w:hAnsiTheme="minorHAnsi" w:cstheme="minorBidi" w:hint="eastAsia"/>
                <w:sz w:val="18"/>
                <w:szCs w:val="18"/>
              </w:rPr>
              <w:t>险保障得</w:t>
            </w:r>
            <w:proofErr w:type="gramEnd"/>
            <w:r>
              <w:rPr>
                <w:rFonts w:asciiTheme="minorHAnsi" w:eastAsiaTheme="minorEastAsia" w:hAnsiTheme="minorHAnsi" w:cstheme="minorBidi" w:hint="eastAsia"/>
                <w:sz w:val="18"/>
                <w:szCs w:val="18"/>
              </w:rPr>
              <w:t>0.2</w:t>
            </w:r>
            <w:r>
              <w:rPr>
                <w:rFonts w:asciiTheme="minorHAnsi" w:eastAsiaTheme="minorEastAsia" w:hAnsiTheme="minorHAnsi" w:cstheme="minorBidi" w:hint="eastAsia"/>
                <w:sz w:val="18"/>
                <w:szCs w:val="18"/>
              </w:rPr>
              <w:t>分；</w:t>
            </w:r>
          </w:p>
          <w:p w14:paraId="08E7901E"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）企业具有有效的董</w:t>
            </w:r>
            <w:proofErr w:type="gramStart"/>
            <w:r>
              <w:rPr>
                <w:rFonts w:asciiTheme="minorHAnsi" w:eastAsiaTheme="minorEastAsia" w:hAnsiTheme="minorHAnsi" w:cstheme="minorBidi" w:hint="eastAsia"/>
                <w:sz w:val="18"/>
                <w:szCs w:val="18"/>
              </w:rPr>
              <w:t>监高责任</w:t>
            </w:r>
            <w:proofErr w:type="gramEnd"/>
            <w:r>
              <w:rPr>
                <w:rFonts w:asciiTheme="minorHAnsi" w:eastAsiaTheme="minorEastAsia" w:hAnsiTheme="minorHAnsi" w:cstheme="minorBidi" w:hint="eastAsia"/>
                <w:sz w:val="18"/>
                <w:szCs w:val="18"/>
              </w:rPr>
              <w:t>保险保障得</w:t>
            </w:r>
            <w:r>
              <w:rPr>
                <w:rFonts w:asciiTheme="minorHAnsi" w:eastAsiaTheme="minorEastAsia" w:hAnsiTheme="minorHAnsi" w:cstheme="minorBidi" w:hint="eastAsia"/>
                <w:sz w:val="18"/>
                <w:szCs w:val="18"/>
              </w:rPr>
              <w:t>0.2</w:t>
            </w:r>
            <w:r>
              <w:rPr>
                <w:rFonts w:asciiTheme="minorHAnsi" w:eastAsiaTheme="minorEastAsia" w:hAnsiTheme="minorHAnsi" w:cstheme="minorBidi" w:hint="eastAsia"/>
                <w:sz w:val="18"/>
                <w:szCs w:val="18"/>
              </w:rPr>
              <w:t>分。</w:t>
            </w:r>
          </w:p>
          <w:p w14:paraId="36908333"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本项目得分为上述四部分加总。</w:t>
            </w:r>
          </w:p>
        </w:tc>
      </w:tr>
    </w:tbl>
    <w:p w14:paraId="4032570C" w14:textId="77777777" w:rsidR="0035415A" w:rsidRDefault="0035415A">
      <w:pPr>
        <w:widowControl/>
        <w:jc w:val="left"/>
        <w:rPr>
          <w:rFonts w:ascii="宋体"/>
          <w:kern w:val="0"/>
          <w:szCs w:val="20"/>
        </w:rPr>
      </w:pPr>
    </w:p>
    <w:p w14:paraId="664239B4" w14:textId="77777777" w:rsidR="0035415A" w:rsidRDefault="0035415A">
      <w:pPr>
        <w:widowControl/>
        <w:jc w:val="left"/>
        <w:rPr>
          <w:rFonts w:ascii="宋体"/>
          <w:kern w:val="0"/>
          <w:szCs w:val="20"/>
        </w:rPr>
      </w:pPr>
    </w:p>
    <w:tbl>
      <w:tblPr>
        <w:tblStyle w:val="110"/>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66"/>
        <w:gridCol w:w="13951"/>
      </w:tblGrid>
      <w:tr w:rsidR="0035415A" w14:paraId="6FA20551" w14:textId="77777777">
        <w:trPr>
          <w:cantSplit/>
          <w:jc w:val="center"/>
        </w:trPr>
        <w:tc>
          <w:tcPr>
            <w:tcW w:w="1166" w:type="dxa"/>
            <w:vMerge w:val="restart"/>
            <w:tcBorders>
              <w:tl2br w:val="nil"/>
              <w:tr2bl w:val="nil"/>
            </w:tcBorders>
            <w:vAlign w:val="center"/>
          </w:tcPr>
          <w:p w14:paraId="15ACA022" w14:textId="77777777" w:rsidR="0035415A" w:rsidRDefault="00000000">
            <w:pPr>
              <w:jc w:val="cente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5</w:t>
            </w:r>
            <w:r>
              <w:rPr>
                <w:rFonts w:asciiTheme="minorHAnsi" w:eastAsiaTheme="minorEastAsia" w:hAnsiTheme="minorHAnsi" w:cstheme="minorBidi"/>
                <w:sz w:val="18"/>
                <w:szCs w:val="18"/>
              </w:rPr>
              <w:t xml:space="preserve">. </w:t>
            </w:r>
            <w:r>
              <w:rPr>
                <w:rFonts w:asciiTheme="minorHAnsi" w:eastAsiaTheme="minorEastAsia" w:hAnsiTheme="minorHAnsi" w:cstheme="minorBidi" w:hint="eastAsia"/>
                <w:sz w:val="18"/>
                <w:szCs w:val="18"/>
              </w:rPr>
              <w:t>一票否决项</w:t>
            </w:r>
          </w:p>
        </w:tc>
        <w:tc>
          <w:tcPr>
            <w:tcW w:w="13951" w:type="dxa"/>
            <w:tcBorders>
              <w:tl2br w:val="nil"/>
              <w:tr2bl w:val="nil"/>
            </w:tcBorders>
            <w:vAlign w:val="center"/>
          </w:tcPr>
          <w:p w14:paraId="1A8807DA"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1</w:t>
            </w:r>
            <w:r>
              <w:rPr>
                <w:rFonts w:asciiTheme="minorHAnsi" w:eastAsiaTheme="minorEastAsia" w:hAnsiTheme="minorHAnsi" w:cstheme="minorBidi" w:hint="eastAsia"/>
                <w:sz w:val="18"/>
                <w:szCs w:val="18"/>
              </w:rPr>
              <w:t>）企业法定代表人、控制人、主要股东、主要管理人员当前因执行被评企业经营管理工作被列入失信被执行人；</w:t>
            </w:r>
          </w:p>
        </w:tc>
      </w:tr>
      <w:tr w:rsidR="0035415A" w14:paraId="6CABA6A6" w14:textId="77777777">
        <w:trPr>
          <w:cantSplit/>
          <w:jc w:val="center"/>
        </w:trPr>
        <w:tc>
          <w:tcPr>
            <w:tcW w:w="1166" w:type="dxa"/>
            <w:vMerge/>
            <w:tcBorders>
              <w:tl2br w:val="nil"/>
              <w:tr2bl w:val="nil"/>
            </w:tcBorders>
            <w:vAlign w:val="center"/>
          </w:tcPr>
          <w:p w14:paraId="35B2ED70"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2C4BA2A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2</w:t>
            </w: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企业法定代表人、</w:t>
            </w:r>
            <w:r>
              <w:rPr>
                <w:rFonts w:asciiTheme="minorHAnsi" w:eastAsiaTheme="minorEastAsia" w:hAnsiTheme="minorHAnsi" w:cstheme="minorBidi" w:hint="eastAsia"/>
                <w:sz w:val="18"/>
                <w:szCs w:val="18"/>
              </w:rPr>
              <w:t>控制人、</w:t>
            </w:r>
            <w:r>
              <w:rPr>
                <w:rFonts w:asciiTheme="minorHAnsi" w:eastAsiaTheme="minorEastAsia" w:hAnsiTheme="minorHAnsi" w:cstheme="minorBidi"/>
                <w:sz w:val="18"/>
                <w:szCs w:val="18"/>
              </w:rPr>
              <w:t>主要股东或合伙人因</w:t>
            </w:r>
            <w:r>
              <w:rPr>
                <w:rFonts w:asciiTheme="minorHAnsi" w:eastAsiaTheme="minorEastAsia" w:hAnsiTheme="minorHAnsi" w:cstheme="minorBidi" w:hint="eastAsia"/>
                <w:sz w:val="18"/>
                <w:szCs w:val="18"/>
              </w:rPr>
              <w:t>执行被评企业经营管理工作涉嫌违法犯罪、</w:t>
            </w:r>
            <w:r>
              <w:rPr>
                <w:rFonts w:asciiTheme="minorHAnsi" w:eastAsiaTheme="minorEastAsia" w:hAnsiTheme="minorHAnsi" w:cstheme="minorBidi"/>
                <w:sz w:val="18"/>
                <w:szCs w:val="18"/>
              </w:rPr>
              <w:t>被依法追究刑事责任；</w:t>
            </w:r>
          </w:p>
        </w:tc>
      </w:tr>
      <w:tr w:rsidR="0035415A" w14:paraId="06674A48" w14:textId="77777777">
        <w:trPr>
          <w:cantSplit/>
          <w:trHeight w:val="90"/>
          <w:jc w:val="center"/>
        </w:trPr>
        <w:tc>
          <w:tcPr>
            <w:tcW w:w="1166" w:type="dxa"/>
            <w:vMerge/>
            <w:tcBorders>
              <w:tl2br w:val="nil"/>
              <w:tr2bl w:val="nil"/>
            </w:tcBorders>
            <w:vAlign w:val="center"/>
          </w:tcPr>
          <w:p w14:paraId="1025212C"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7B7659FD"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3</w:t>
            </w:r>
            <w:r>
              <w:rPr>
                <w:rFonts w:asciiTheme="minorHAnsi" w:eastAsiaTheme="minorEastAsia" w:hAnsiTheme="minorHAnsi" w:cstheme="minorBidi" w:hint="eastAsia"/>
                <w:sz w:val="18"/>
                <w:szCs w:val="18"/>
              </w:rPr>
              <w:t>）企业在“国家企业信用信息公示系统”中显示非正常登记注册</w:t>
            </w: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非正常经营状态（因经营地点变更导致地址异常者除外）；</w:t>
            </w:r>
          </w:p>
        </w:tc>
      </w:tr>
      <w:tr w:rsidR="0035415A" w14:paraId="6BD1CD60" w14:textId="77777777">
        <w:trPr>
          <w:cantSplit/>
          <w:jc w:val="center"/>
        </w:trPr>
        <w:tc>
          <w:tcPr>
            <w:tcW w:w="1166" w:type="dxa"/>
            <w:vMerge/>
            <w:tcBorders>
              <w:tl2br w:val="nil"/>
              <w:tr2bl w:val="nil"/>
            </w:tcBorders>
            <w:vAlign w:val="center"/>
          </w:tcPr>
          <w:p w14:paraId="439959F0"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6D1C255A"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4</w:t>
            </w:r>
            <w:r>
              <w:rPr>
                <w:rFonts w:asciiTheme="minorHAnsi" w:eastAsiaTheme="minorEastAsia" w:hAnsiTheme="minorHAnsi" w:cstheme="minorBidi" w:hint="eastAsia"/>
                <w:sz w:val="18"/>
                <w:szCs w:val="18"/>
              </w:rPr>
              <w:t>）企业及主要控股子公司当前被列入严重违法失信名单；</w:t>
            </w:r>
          </w:p>
        </w:tc>
      </w:tr>
      <w:tr w:rsidR="0035415A" w14:paraId="269DE2DB" w14:textId="77777777">
        <w:trPr>
          <w:cantSplit/>
          <w:jc w:val="center"/>
        </w:trPr>
        <w:tc>
          <w:tcPr>
            <w:tcW w:w="1166" w:type="dxa"/>
            <w:vMerge/>
            <w:tcBorders>
              <w:tl2br w:val="nil"/>
              <w:tr2bl w:val="nil"/>
            </w:tcBorders>
            <w:vAlign w:val="center"/>
          </w:tcPr>
          <w:p w14:paraId="6AC0DA6D"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03887FDD"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5</w:t>
            </w: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提供虚假《国有土地使用权证》、《建设用地规划许可证》、《建设工程规划许可证》、《建设工程施工许可证》、《商品房预售许可证》等相关证件进行开发；</w:t>
            </w:r>
          </w:p>
        </w:tc>
      </w:tr>
      <w:tr w:rsidR="0035415A" w14:paraId="4AF57AF2" w14:textId="77777777">
        <w:trPr>
          <w:cantSplit/>
          <w:jc w:val="center"/>
        </w:trPr>
        <w:tc>
          <w:tcPr>
            <w:tcW w:w="1166" w:type="dxa"/>
            <w:vMerge/>
            <w:tcBorders>
              <w:tl2br w:val="nil"/>
              <w:tr2bl w:val="nil"/>
            </w:tcBorders>
            <w:vAlign w:val="center"/>
          </w:tcPr>
          <w:p w14:paraId="1214AD6C"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3E4DD51C"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6</w:t>
            </w:r>
            <w:r>
              <w:rPr>
                <w:rFonts w:asciiTheme="minorHAnsi" w:eastAsiaTheme="minorEastAsia" w:hAnsiTheme="minorHAnsi" w:cstheme="minorBidi" w:hint="eastAsia"/>
                <w:sz w:val="18"/>
                <w:szCs w:val="18"/>
              </w:rPr>
              <w:t>）超过限缴期限未缴纳土地出让金、城市基础设施配套费；</w:t>
            </w:r>
          </w:p>
        </w:tc>
      </w:tr>
      <w:tr w:rsidR="0035415A" w14:paraId="6D0DFA5F" w14:textId="77777777">
        <w:trPr>
          <w:cantSplit/>
          <w:jc w:val="center"/>
        </w:trPr>
        <w:tc>
          <w:tcPr>
            <w:tcW w:w="1166" w:type="dxa"/>
            <w:vMerge/>
            <w:tcBorders>
              <w:tl2br w:val="nil"/>
              <w:tr2bl w:val="nil"/>
            </w:tcBorders>
            <w:vAlign w:val="center"/>
          </w:tcPr>
          <w:p w14:paraId="467A85B5"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65684AE4"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7</w:t>
            </w: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隐瞒</w:t>
            </w:r>
            <w:r>
              <w:rPr>
                <w:rFonts w:asciiTheme="minorHAnsi" w:eastAsiaTheme="minorEastAsia" w:hAnsiTheme="minorHAnsi" w:cstheme="minorBidi" w:hint="eastAsia"/>
                <w:sz w:val="18"/>
                <w:szCs w:val="18"/>
              </w:rPr>
              <w:t>真实</w:t>
            </w:r>
            <w:r>
              <w:rPr>
                <w:rFonts w:asciiTheme="minorHAnsi" w:eastAsiaTheme="minorEastAsia" w:hAnsiTheme="minorHAnsi" w:cstheme="minorBidi"/>
                <w:sz w:val="18"/>
                <w:szCs w:val="18"/>
              </w:rPr>
              <w:t>情况</w:t>
            </w:r>
            <w:r>
              <w:rPr>
                <w:rFonts w:asciiTheme="minorHAnsi" w:eastAsiaTheme="minorEastAsia" w:hAnsiTheme="minorHAnsi" w:cstheme="minorBidi" w:hint="eastAsia"/>
                <w:sz w:val="18"/>
                <w:szCs w:val="18"/>
              </w:rPr>
              <w:t>、虚假陈述或</w:t>
            </w:r>
            <w:r>
              <w:rPr>
                <w:rFonts w:asciiTheme="minorHAnsi" w:eastAsiaTheme="minorEastAsia" w:hAnsiTheme="minorHAnsi" w:cstheme="minorBidi"/>
                <w:sz w:val="18"/>
                <w:szCs w:val="18"/>
              </w:rPr>
              <w:t>提供虚假材料，或者采用欺骗等不正当手段取得商品房预售许可证、房屋所有权证；</w:t>
            </w:r>
          </w:p>
        </w:tc>
      </w:tr>
      <w:tr w:rsidR="0035415A" w14:paraId="5A029A23" w14:textId="77777777">
        <w:trPr>
          <w:cantSplit/>
          <w:jc w:val="center"/>
        </w:trPr>
        <w:tc>
          <w:tcPr>
            <w:tcW w:w="1166" w:type="dxa"/>
            <w:vMerge/>
            <w:tcBorders>
              <w:tl2br w:val="nil"/>
              <w:tr2bl w:val="nil"/>
            </w:tcBorders>
            <w:vAlign w:val="center"/>
          </w:tcPr>
          <w:p w14:paraId="4C4AFDC8"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73F6B174"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8</w:t>
            </w:r>
            <w:r>
              <w:rPr>
                <w:rFonts w:asciiTheme="minorHAnsi" w:eastAsiaTheme="minorEastAsia" w:hAnsiTheme="minorHAnsi" w:cstheme="minorBidi" w:hint="eastAsia"/>
                <w:sz w:val="18"/>
                <w:szCs w:val="18"/>
              </w:rPr>
              <w:t>）企业</w:t>
            </w:r>
            <w:r>
              <w:rPr>
                <w:rFonts w:asciiTheme="minorHAnsi" w:eastAsiaTheme="minorEastAsia" w:hAnsiTheme="minorHAnsi" w:cstheme="minorBidi"/>
                <w:sz w:val="18"/>
                <w:szCs w:val="18"/>
              </w:rPr>
              <w:t>开发项目存在重大</w:t>
            </w:r>
            <w:r>
              <w:rPr>
                <w:rFonts w:asciiTheme="minorHAnsi" w:eastAsiaTheme="minorEastAsia" w:hAnsiTheme="minorHAnsi" w:cstheme="minorBidi" w:hint="eastAsia"/>
                <w:sz w:val="18"/>
                <w:szCs w:val="18"/>
              </w:rPr>
              <w:t>工程</w:t>
            </w:r>
            <w:r>
              <w:rPr>
                <w:rFonts w:asciiTheme="minorHAnsi" w:eastAsiaTheme="minorEastAsia" w:hAnsiTheme="minorHAnsi" w:cstheme="minorBidi"/>
                <w:sz w:val="18"/>
                <w:szCs w:val="18"/>
              </w:rPr>
              <w:t>质量</w:t>
            </w:r>
            <w:r>
              <w:rPr>
                <w:rFonts w:asciiTheme="minorHAnsi" w:eastAsiaTheme="minorEastAsia" w:hAnsiTheme="minorHAnsi" w:cstheme="minorBidi" w:hint="eastAsia"/>
                <w:sz w:val="18"/>
                <w:szCs w:val="18"/>
              </w:rPr>
              <w:t>事故</w:t>
            </w:r>
            <w:r>
              <w:rPr>
                <w:rFonts w:asciiTheme="minorHAnsi" w:eastAsiaTheme="minorEastAsia" w:hAnsiTheme="minorHAnsi" w:cstheme="minorBidi"/>
                <w:sz w:val="18"/>
                <w:szCs w:val="18"/>
              </w:rPr>
              <w:t>，造成严重后果；</w:t>
            </w:r>
          </w:p>
        </w:tc>
      </w:tr>
      <w:tr w:rsidR="0035415A" w14:paraId="3162BEF0" w14:textId="77777777">
        <w:trPr>
          <w:cantSplit/>
          <w:jc w:val="center"/>
        </w:trPr>
        <w:tc>
          <w:tcPr>
            <w:tcW w:w="1166" w:type="dxa"/>
            <w:vMerge/>
            <w:tcBorders>
              <w:tl2br w:val="nil"/>
              <w:tr2bl w:val="nil"/>
            </w:tcBorders>
            <w:vAlign w:val="center"/>
          </w:tcPr>
          <w:p w14:paraId="30E0193E"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203521EA"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9</w:t>
            </w: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虚构事实或隐瞒真相，与一方当事人串通、对相关当事人进行误导或欺诈，给当事人造成重大损失；</w:t>
            </w:r>
          </w:p>
        </w:tc>
      </w:tr>
      <w:tr w:rsidR="0035415A" w14:paraId="4D553C21" w14:textId="77777777">
        <w:trPr>
          <w:cantSplit/>
          <w:jc w:val="center"/>
        </w:trPr>
        <w:tc>
          <w:tcPr>
            <w:tcW w:w="1166" w:type="dxa"/>
            <w:vMerge/>
            <w:tcBorders>
              <w:tl2br w:val="nil"/>
              <w:tr2bl w:val="nil"/>
            </w:tcBorders>
            <w:vAlign w:val="center"/>
          </w:tcPr>
          <w:p w14:paraId="3443C81E"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2760F2F4"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10</w:t>
            </w: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被有关</w:t>
            </w:r>
            <w:r>
              <w:rPr>
                <w:rFonts w:asciiTheme="minorHAnsi" w:eastAsiaTheme="minorEastAsia" w:hAnsiTheme="minorHAnsi" w:cstheme="minorBidi" w:hint="eastAsia"/>
                <w:sz w:val="18"/>
                <w:szCs w:val="18"/>
              </w:rPr>
              <w:t>部门或机关</w:t>
            </w:r>
            <w:r>
              <w:rPr>
                <w:rFonts w:asciiTheme="minorHAnsi" w:eastAsiaTheme="minorEastAsia" w:hAnsiTheme="minorHAnsi" w:cstheme="minorBidi"/>
                <w:sz w:val="18"/>
                <w:szCs w:val="18"/>
              </w:rPr>
              <w:t>认定，采取不正当手段恶性竞争严重损害行业或同行声誉、利益的</w:t>
            </w: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如在投标过程中串标、围标等舞弊行为；</w:t>
            </w:r>
          </w:p>
        </w:tc>
      </w:tr>
      <w:tr w:rsidR="0035415A" w14:paraId="3857281B" w14:textId="77777777">
        <w:trPr>
          <w:cantSplit/>
          <w:jc w:val="center"/>
        </w:trPr>
        <w:tc>
          <w:tcPr>
            <w:tcW w:w="1166" w:type="dxa"/>
            <w:vMerge/>
            <w:tcBorders>
              <w:tl2br w:val="nil"/>
              <w:tr2bl w:val="nil"/>
            </w:tcBorders>
            <w:vAlign w:val="center"/>
          </w:tcPr>
          <w:p w14:paraId="59F08E63"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7C9341FB"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11</w:t>
            </w:r>
            <w:r>
              <w:rPr>
                <w:rFonts w:asciiTheme="minorHAnsi" w:eastAsiaTheme="minorEastAsia" w:hAnsiTheme="minorHAnsi" w:cstheme="minorBidi" w:hint="eastAsia"/>
                <w:sz w:val="18"/>
                <w:szCs w:val="18"/>
              </w:rPr>
              <w:t>）当前发生</w:t>
            </w:r>
            <w:r>
              <w:rPr>
                <w:rFonts w:asciiTheme="minorHAnsi" w:eastAsiaTheme="minorEastAsia" w:hAnsiTheme="minorHAnsi" w:cstheme="minorBidi"/>
                <w:sz w:val="18"/>
                <w:szCs w:val="18"/>
              </w:rPr>
              <w:t>消费者集体投诉</w:t>
            </w:r>
            <w:r>
              <w:rPr>
                <w:rFonts w:asciiTheme="minorHAnsi" w:eastAsiaTheme="minorEastAsia" w:hAnsiTheme="minorHAnsi" w:cstheme="minorBidi" w:hint="eastAsia"/>
                <w:sz w:val="18"/>
                <w:szCs w:val="18"/>
              </w:rPr>
              <w:t>、维权</w:t>
            </w:r>
            <w:r>
              <w:rPr>
                <w:rFonts w:asciiTheme="minorHAnsi" w:eastAsiaTheme="minorEastAsia" w:hAnsiTheme="minorHAnsi" w:cstheme="minorBidi"/>
                <w:sz w:val="18"/>
                <w:szCs w:val="18"/>
              </w:rPr>
              <w:t>并经核实为有责，但未对事件进行</w:t>
            </w:r>
            <w:r>
              <w:rPr>
                <w:rFonts w:asciiTheme="minorHAnsi" w:eastAsiaTheme="minorEastAsia" w:hAnsiTheme="minorHAnsi" w:cstheme="minorBidi" w:hint="eastAsia"/>
                <w:sz w:val="18"/>
                <w:szCs w:val="18"/>
              </w:rPr>
              <w:t>妥善</w:t>
            </w:r>
            <w:r>
              <w:rPr>
                <w:rFonts w:asciiTheme="minorHAnsi" w:eastAsiaTheme="minorEastAsia" w:hAnsiTheme="minorHAnsi" w:cstheme="minorBidi"/>
                <w:sz w:val="18"/>
                <w:szCs w:val="18"/>
              </w:rPr>
              <w:t>处理；</w:t>
            </w:r>
          </w:p>
        </w:tc>
      </w:tr>
      <w:tr w:rsidR="0035415A" w14:paraId="22A1AFF4" w14:textId="77777777">
        <w:trPr>
          <w:cantSplit/>
          <w:jc w:val="center"/>
        </w:trPr>
        <w:tc>
          <w:tcPr>
            <w:tcW w:w="1166" w:type="dxa"/>
            <w:vMerge/>
            <w:tcBorders>
              <w:tl2br w:val="nil"/>
              <w:tr2bl w:val="nil"/>
            </w:tcBorders>
            <w:vAlign w:val="center"/>
          </w:tcPr>
          <w:p w14:paraId="02AA5945"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5C2F6E27"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12</w:t>
            </w: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威胁、恐吓、殴打行政执法人员或者采取其他方式阻碍行政执法人员依法履行职责；</w:t>
            </w:r>
          </w:p>
        </w:tc>
      </w:tr>
      <w:tr w:rsidR="0035415A" w14:paraId="7C474590" w14:textId="77777777">
        <w:trPr>
          <w:cantSplit/>
          <w:jc w:val="center"/>
        </w:trPr>
        <w:tc>
          <w:tcPr>
            <w:tcW w:w="1166" w:type="dxa"/>
            <w:vMerge/>
            <w:tcBorders>
              <w:tl2br w:val="nil"/>
              <w:tr2bl w:val="nil"/>
            </w:tcBorders>
            <w:vAlign w:val="center"/>
          </w:tcPr>
          <w:p w14:paraId="2FE7EFB2"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6FE34126"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13</w:t>
            </w: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三年内有偷、逃、抗税记录；</w:t>
            </w:r>
          </w:p>
        </w:tc>
      </w:tr>
      <w:tr w:rsidR="0035415A" w14:paraId="7EAB26D9" w14:textId="77777777">
        <w:trPr>
          <w:cantSplit/>
          <w:jc w:val="center"/>
        </w:trPr>
        <w:tc>
          <w:tcPr>
            <w:tcW w:w="1166" w:type="dxa"/>
            <w:vMerge/>
            <w:tcBorders>
              <w:tl2br w:val="nil"/>
              <w:tr2bl w:val="nil"/>
            </w:tcBorders>
            <w:vAlign w:val="center"/>
          </w:tcPr>
          <w:p w14:paraId="5544A1C4"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44FED12B"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w:t>
            </w:r>
            <w:r>
              <w:rPr>
                <w:rFonts w:asciiTheme="minorHAnsi" w:eastAsiaTheme="minorEastAsia" w:hAnsiTheme="minorHAnsi" w:cstheme="minorBidi"/>
                <w:sz w:val="18"/>
                <w:szCs w:val="18"/>
              </w:rPr>
              <w:t>4</w:t>
            </w:r>
            <w:r>
              <w:rPr>
                <w:rFonts w:asciiTheme="minorHAnsi" w:eastAsiaTheme="minorEastAsia" w:hAnsiTheme="minorHAnsi" w:cstheme="minorBidi" w:hint="eastAsia"/>
                <w:sz w:val="18"/>
                <w:szCs w:val="18"/>
              </w:rPr>
              <w:t>）引起异常、越级、群众上访，影响社会稳定和正常社会秩序，经核实确实存在严重侵害群众利益行为，造成恶劣社会影响；</w:t>
            </w:r>
          </w:p>
        </w:tc>
      </w:tr>
      <w:tr w:rsidR="0035415A" w14:paraId="1DD8C621" w14:textId="77777777">
        <w:trPr>
          <w:cantSplit/>
          <w:trHeight w:val="90"/>
          <w:jc w:val="center"/>
        </w:trPr>
        <w:tc>
          <w:tcPr>
            <w:tcW w:w="1166" w:type="dxa"/>
            <w:vMerge/>
            <w:tcBorders>
              <w:tl2br w:val="nil"/>
              <w:tr2bl w:val="nil"/>
            </w:tcBorders>
            <w:vAlign w:val="center"/>
          </w:tcPr>
          <w:p w14:paraId="06FE56EF"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6659CB4A" w14:textId="77777777" w:rsidR="0035415A" w:rsidRDefault="00000000">
            <w:pPr>
              <w:numPr>
                <w:ilvl w:val="255"/>
                <w:numId w:val="0"/>
              </w:num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15</w:t>
            </w:r>
            <w:r>
              <w:rPr>
                <w:rFonts w:asciiTheme="minorHAnsi" w:eastAsiaTheme="minorEastAsia" w:hAnsiTheme="minorHAnsi" w:cstheme="minorBidi" w:hint="eastAsia"/>
                <w:sz w:val="18"/>
                <w:szCs w:val="18"/>
              </w:rPr>
              <w:t>）近三年在公开市场发生实质性债务违约。</w:t>
            </w:r>
          </w:p>
        </w:tc>
      </w:tr>
    </w:tbl>
    <w:p w14:paraId="20359736" w14:textId="77777777" w:rsidR="0035415A" w:rsidRDefault="0035415A"/>
    <w:tbl>
      <w:tblPr>
        <w:tblStyle w:val="110"/>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66"/>
        <w:gridCol w:w="13951"/>
      </w:tblGrid>
      <w:tr w:rsidR="0035415A" w14:paraId="166ABF11" w14:textId="77777777">
        <w:trPr>
          <w:cantSplit/>
          <w:jc w:val="center"/>
        </w:trPr>
        <w:tc>
          <w:tcPr>
            <w:tcW w:w="1166" w:type="dxa"/>
            <w:vMerge w:val="restart"/>
            <w:tcBorders>
              <w:tl2br w:val="nil"/>
              <w:tr2bl w:val="nil"/>
            </w:tcBorders>
            <w:vAlign w:val="center"/>
          </w:tcPr>
          <w:p w14:paraId="42F6C770" w14:textId="77777777" w:rsidR="0035415A" w:rsidRDefault="00000000">
            <w:pPr>
              <w:widowControl/>
              <w:jc w:val="center"/>
              <w:rPr>
                <w:rFonts w:asciiTheme="minorHAnsi" w:eastAsiaTheme="minorEastAsia" w:hAnsiTheme="minorHAnsi" w:cstheme="minorBidi"/>
                <w:sz w:val="18"/>
                <w:szCs w:val="18"/>
              </w:rPr>
            </w:pPr>
            <w:r>
              <w:rPr>
                <w:rFonts w:asciiTheme="minorHAnsi" w:eastAsiaTheme="minorEastAsia" w:hAnsiTheme="minorHAnsi" w:cstheme="minorBidi"/>
              </w:rPr>
              <w:br w:type="page"/>
            </w:r>
            <w:r>
              <w:rPr>
                <w:rFonts w:asciiTheme="minorHAnsi" w:eastAsiaTheme="minorEastAsia" w:hAnsiTheme="minorHAnsi" w:cstheme="minorBidi" w:hint="eastAsia"/>
                <w:sz w:val="18"/>
                <w:szCs w:val="18"/>
              </w:rPr>
              <w:t>6</w:t>
            </w:r>
            <w:r>
              <w:rPr>
                <w:rFonts w:asciiTheme="minorHAnsi" w:eastAsiaTheme="minorEastAsia" w:hAnsiTheme="minorHAnsi" w:cstheme="minorBidi"/>
                <w:sz w:val="18"/>
                <w:szCs w:val="18"/>
              </w:rPr>
              <w:t xml:space="preserve">. </w:t>
            </w:r>
            <w:r>
              <w:rPr>
                <w:rFonts w:asciiTheme="minorHAnsi" w:eastAsiaTheme="minorEastAsia" w:hAnsiTheme="minorHAnsi" w:cstheme="minorBidi" w:hint="eastAsia"/>
                <w:sz w:val="18"/>
                <w:szCs w:val="18"/>
              </w:rPr>
              <w:t>单项最低指标</w:t>
            </w:r>
          </w:p>
        </w:tc>
        <w:tc>
          <w:tcPr>
            <w:tcW w:w="13951" w:type="dxa"/>
            <w:tcBorders>
              <w:tl2br w:val="nil"/>
              <w:tr2bl w:val="nil"/>
            </w:tcBorders>
            <w:vAlign w:val="center"/>
          </w:tcPr>
          <w:p w14:paraId="104DDED8"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sz w:val="18"/>
                <w:szCs w:val="18"/>
              </w:rPr>
              <w:t>1</w:t>
            </w:r>
            <w:r>
              <w:rPr>
                <w:rFonts w:asciiTheme="minorHAnsi" w:eastAsiaTheme="minorEastAsia" w:hAnsiTheme="minorHAnsi" w:cstheme="minorBidi" w:hint="eastAsia"/>
                <w:sz w:val="18"/>
                <w:szCs w:val="18"/>
              </w:rPr>
              <w:t>）财务信用能力（</w:t>
            </w:r>
            <w:proofErr w:type="gramStart"/>
            <w:r>
              <w:rPr>
                <w:rFonts w:asciiTheme="minorHAnsi" w:eastAsiaTheme="minorEastAsia" w:hAnsiTheme="minorHAnsi" w:cstheme="minorBidi" w:hint="eastAsia"/>
                <w:sz w:val="18"/>
                <w:szCs w:val="18"/>
              </w:rPr>
              <w:t>见指标</w:t>
            </w:r>
            <w:proofErr w:type="gramEnd"/>
            <w:r>
              <w:rPr>
                <w:rFonts w:asciiTheme="minorHAnsi" w:eastAsiaTheme="minorEastAsia" w:hAnsiTheme="minorHAnsi" w:cstheme="minorBidi" w:hint="eastAsia"/>
                <w:sz w:val="18"/>
                <w:szCs w:val="18"/>
              </w:rPr>
              <w:t>体系</w:t>
            </w:r>
            <w:r>
              <w:rPr>
                <w:rFonts w:asciiTheme="minorHAnsi" w:eastAsiaTheme="minorEastAsia" w:hAnsiTheme="minorHAnsi" w:cstheme="minorBidi" w:hint="eastAsia"/>
                <w:sz w:val="18"/>
                <w:szCs w:val="18"/>
              </w:rPr>
              <w:t>1.5</w:t>
            </w:r>
            <w:r>
              <w:rPr>
                <w:rFonts w:asciiTheme="minorHAnsi" w:eastAsiaTheme="minorEastAsia" w:hAnsiTheme="minorHAnsi" w:cstheme="minorBidi" w:hint="eastAsia"/>
                <w:sz w:val="18"/>
                <w:szCs w:val="18"/>
              </w:rPr>
              <w:t>）；</w:t>
            </w:r>
          </w:p>
        </w:tc>
      </w:tr>
      <w:tr w:rsidR="0035415A" w14:paraId="53BFA697" w14:textId="77777777">
        <w:trPr>
          <w:cantSplit/>
          <w:jc w:val="center"/>
        </w:trPr>
        <w:tc>
          <w:tcPr>
            <w:tcW w:w="1166" w:type="dxa"/>
            <w:vMerge/>
            <w:tcBorders>
              <w:tl2br w:val="nil"/>
              <w:tr2bl w:val="nil"/>
            </w:tcBorders>
            <w:vAlign w:val="center"/>
          </w:tcPr>
          <w:p w14:paraId="1830A44D"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1D1BEF7F" w14:textId="77777777" w:rsidR="0035415A" w:rsidRDefault="00000000">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）企业建设阶段信用（</w:t>
            </w:r>
            <w:proofErr w:type="gramStart"/>
            <w:r>
              <w:rPr>
                <w:rFonts w:asciiTheme="minorHAnsi" w:eastAsiaTheme="minorEastAsia" w:hAnsiTheme="minorHAnsi" w:cstheme="minorBidi" w:hint="eastAsia"/>
                <w:sz w:val="18"/>
                <w:szCs w:val="18"/>
              </w:rPr>
              <w:t>见指标</w:t>
            </w:r>
            <w:proofErr w:type="gramEnd"/>
            <w:r>
              <w:rPr>
                <w:rFonts w:asciiTheme="minorHAnsi" w:eastAsiaTheme="minorEastAsia" w:hAnsiTheme="minorHAnsi" w:cstheme="minorBidi" w:hint="eastAsia"/>
                <w:sz w:val="18"/>
                <w:szCs w:val="18"/>
              </w:rPr>
              <w:t>体系</w:t>
            </w:r>
            <w:r>
              <w:rPr>
                <w:rFonts w:asciiTheme="minorHAnsi" w:eastAsiaTheme="minorEastAsia" w:hAnsiTheme="minorHAnsi" w:cstheme="minorBidi" w:hint="eastAsia"/>
                <w:sz w:val="18"/>
                <w:szCs w:val="18"/>
              </w:rPr>
              <w:t>2.2</w:t>
            </w:r>
            <w:r>
              <w:rPr>
                <w:rFonts w:asciiTheme="minorHAnsi" w:eastAsiaTheme="minorEastAsia" w:hAnsiTheme="minorHAnsi" w:cstheme="minorBidi" w:hint="eastAsia"/>
                <w:sz w:val="18"/>
                <w:szCs w:val="18"/>
              </w:rPr>
              <w:t>）；</w:t>
            </w:r>
          </w:p>
        </w:tc>
      </w:tr>
      <w:tr w:rsidR="0035415A" w14:paraId="2720EDA1" w14:textId="77777777">
        <w:trPr>
          <w:cantSplit/>
          <w:trHeight w:val="192"/>
          <w:jc w:val="center"/>
        </w:trPr>
        <w:tc>
          <w:tcPr>
            <w:tcW w:w="1166" w:type="dxa"/>
            <w:vMerge/>
            <w:tcBorders>
              <w:tl2br w:val="nil"/>
              <w:tr2bl w:val="nil"/>
            </w:tcBorders>
            <w:vAlign w:val="center"/>
          </w:tcPr>
          <w:p w14:paraId="7A66C552" w14:textId="77777777" w:rsidR="0035415A" w:rsidRDefault="0035415A">
            <w:pPr>
              <w:jc w:val="center"/>
              <w:rPr>
                <w:rFonts w:asciiTheme="minorHAnsi" w:eastAsiaTheme="minorEastAsia" w:hAnsiTheme="minorHAnsi" w:cstheme="minorBidi"/>
                <w:sz w:val="18"/>
                <w:szCs w:val="18"/>
              </w:rPr>
            </w:pPr>
          </w:p>
        </w:tc>
        <w:tc>
          <w:tcPr>
            <w:tcW w:w="13951" w:type="dxa"/>
            <w:tcBorders>
              <w:tl2br w:val="nil"/>
              <w:tr2bl w:val="nil"/>
            </w:tcBorders>
            <w:vAlign w:val="center"/>
          </w:tcPr>
          <w:p w14:paraId="53ACCC28" w14:textId="77777777" w:rsidR="0035415A" w:rsidRDefault="00000000">
            <w:pPr>
              <w:numPr>
                <w:ilvl w:val="255"/>
                <w:numId w:val="0"/>
              </w:num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）合同履约信用（</w:t>
            </w:r>
            <w:proofErr w:type="gramStart"/>
            <w:r>
              <w:rPr>
                <w:rFonts w:asciiTheme="minorHAnsi" w:eastAsiaTheme="minorEastAsia" w:hAnsiTheme="minorHAnsi" w:cstheme="minorBidi" w:hint="eastAsia"/>
                <w:sz w:val="18"/>
                <w:szCs w:val="18"/>
              </w:rPr>
              <w:t>见指标</w:t>
            </w:r>
            <w:proofErr w:type="gramEnd"/>
            <w:r>
              <w:rPr>
                <w:rFonts w:asciiTheme="minorHAnsi" w:eastAsiaTheme="minorEastAsia" w:hAnsiTheme="minorHAnsi" w:cstheme="minorBidi" w:hint="eastAsia"/>
                <w:sz w:val="18"/>
                <w:szCs w:val="18"/>
              </w:rPr>
              <w:t>体系</w:t>
            </w:r>
            <w:r>
              <w:rPr>
                <w:rFonts w:asciiTheme="minorHAnsi" w:eastAsiaTheme="minorEastAsia" w:hAnsiTheme="minorHAnsi" w:cstheme="minorBidi" w:hint="eastAsia"/>
                <w:sz w:val="18"/>
                <w:szCs w:val="18"/>
              </w:rPr>
              <w:t>2.3</w:t>
            </w:r>
            <w:r>
              <w:rPr>
                <w:rFonts w:asciiTheme="minorHAnsi" w:eastAsiaTheme="minorEastAsia" w:hAnsiTheme="minorHAnsi" w:cstheme="minorBidi" w:hint="eastAsia"/>
                <w:sz w:val="18"/>
                <w:szCs w:val="18"/>
              </w:rPr>
              <w:t>）；</w:t>
            </w:r>
          </w:p>
        </w:tc>
      </w:tr>
      <w:tr w:rsidR="0035415A" w14:paraId="0E350736" w14:textId="77777777">
        <w:trPr>
          <w:cantSplit/>
          <w:trHeight w:val="90"/>
          <w:jc w:val="center"/>
        </w:trPr>
        <w:tc>
          <w:tcPr>
            <w:tcW w:w="1166" w:type="dxa"/>
            <w:vMerge/>
            <w:tcBorders>
              <w:tl2br w:val="nil"/>
              <w:tr2bl w:val="nil"/>
            </w:tcBorders>
            <w:vAlign w:val="center"/>
          </w:tcPr>
          <w:p w14:paraId="3548FDD3" w14:textId="77777777" w:rsidR="0035415A" w:rsidRDefault="0035415A">
            <w:pPr>
              <w:jc w:val="center"/>
              <w:rPr>
                <w:rFonts w:asciiTheme="minorHAnsi" w:eastAsiaTheme="minorEastAsia" w:hAnsiTheme="minorHAnsi" w:cstheme="minorBidi"/>
                <w:sz w:val="18"/>
                <w:szCs w:val="18"/>
              </w:rPr>
            </w:pPr>
            <w:bookmarkStart w:id="122" w:name="_Toc1438"/>
            <w:bookmarkStart w:id="123" w:name="_Toc32457"/>
            <w:bookmarkStart w:id="124" w:name="_Toc52288524"/>
            <w:bookmarkStart w:id="125" w:name="_Toc44414109"/>
            <w:bookmarkStart w:id="126" w:name="BKCKWX"/>
            <w:bookmarkStart w:id="127" w:name="_Toc27780"/>
            <w:bookmarkStart w:id="128" w:name="_Toc71478581"/>
            <w:bookmarkStart w:id="129" w:name="_Toc74143784"/>
          </w:p>
        </w:tc>
        <w:tc>
          <w:tcPr>
            <w:tcW w:w="13951" w:type="dxa"/>
            <w:tcBorders>
              <w:tl2br w:val="nil"/>
              <w:tr2bl w:val="nil"/>
            </w:tcBorders>
            <w:vAlign w:val="center"/>
          </w:tcPr>
          <w:p w14:paraId="4C3E544E" w14:textId="77777777" w:rsidR="0035415A" w:rsidRDefault="00000000">
            <w:pPr>
              <w:numPr>
                <w:ilvl w:val="255"/>
                <w:numId w:val="0"/>
              </w:num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Pr>
                <w:rFonts w:asciiTheme="minorHAnsi" w:eastAsiaTheme="minorEastAsia" w:hAnsiTheme="minorHAnsi" w:cstheme="minorBidi" w:hint="eastAsia"/>
                <w:sz w:val="18"/>
                <w:szCs w:val="18"/>
              </w:rPr>
              <w:t>4</w:t>
            </w:r>
            <w:r>
              <w:rPr>
                <w:rFonts w:asciiTheme="minorHAnsi" w:eastAsiaTheme="minorEastAsia" w:hAnsiTheme="minorHAnsi" w:cstheme="minorBidi" w:hint="eastAsia"/>
                <w:sz w:val="18"/>
                <w:szCs w:val="18"/>
              </w:rPr>
              <w:t>）企业公共信用（</w:t>
            </w:r>
            <w:proofErr w:type="gramStart"/>
            <w:r>
              <w:rPr>
                <w:rFonts w:asciiTheme="minorHAnsi" w:eastAsiaTheme="minorEastAsia" w:hAnsiTheme="minorHAnsi" w:cstheme="minorBidi" w:hint="eastAsia"/>
                <w:sz w:val="18"/>
                <w:szCs w:val="18"/>
              </w:rPr>
              <w:t>见指标</w:t>
            </w:r>
            <w:proofErr w:type="gramEnd"/>
            <w:r>
              <w:rPr>
                <w:rFonts w:asciiTheme="minorHAnsi" w:eastAsiaTheme="minorEastAsia" w:hAnsiTheme="minorHAnsi" w:cstheme="minorBidi" w:hint="eastAsia"/>
                <w:sz w:val="18"/>
                <w:szCs w:val="18"/>
              </w:rPr>
              <w:t>体系</w:t>
            </w:r>
            <w:r>
              <w:rPr>
                <w:rFonts w:asciiTheme="minorHAnsi" w:eastAsiaTheme="minorEastAsia" w:hAnsiTheme="minorHAnsi" w:cstheme="minorBidi" w:hint="eastAsia"/>
                <w:sz w:val="18"/>
                <w:szCs w:val="18"/>
              </w:rPr>
              <w:t>3.1</w:t>
            </w:r>
            <w:r>
              <w:rPr>
                <w:rFonts w:asciiTheme="minorHAnsi" w:eastAsiaTheme="minorEastAsia" w:hAnsiTheme="minorHAnsi" w:cstheme="minorBidi" w:hint="eastAsia"/>
                <w:sz w:val="18"/>
                <w:szCs w:val="18"/>
              </w:rPr>
              <w:t>）。</w:t>
            </w:r>
          </w:p>
        </w:tc>
      </w:tr>
      <w:bookmarkEnd w:id="122"/>
      <w:bookmarkEnd w:id="123"/>
      <w:bookmarkEnd w:id="124"/>
      <w:bookmarkEnd w:id="125"/>
      <w:bookmarkEnd w:id="126"/>
      <w:bookmarkEnd w:id="127"/>
      <w:bookmarkEnd w:id="128"/>
      <w:bookmarkEnd w:id="129"/>
    </w:tbl>
    <w:p w14:paraId="2362520D" w14:textId="77777777" w:rsidR="0035415A" w:rsidRDefault="0035415A">
      <w:pPr>
        <w:pStyle w:val="aff0"/>
        <w:numPr>
          <w:ilvl w:val="0"/>
          <w:numId w:val="0"/>
        </w:numPr>
      </w:pPr>
    </w:p>
    <w:p w14:paraId="0DF26F61" w14:textId="77777777" w:rsidR="0035415A" w:rsidRDefault="00000000">
      <w:pPr>
        <w:pStyle w:val="afffffff"/>
        <w:framePr w:hSpace="0" w:vSpace="0" w:wrap="auto" w:vAnchor="margin" w:hAnchor="text" w:xAlign="left" w:yAlign="inline"/>
      </w:pPr>
      <w:r>
        <w:t>____________________________</w:t>
      </w:r>
    </w:p>
    <w:p w14:paraId="28A787A0" w14:textId="77777777" w:rsidR="0035415A" w:rsidRDefault="0035415A">
      <w:pPr>
        <w:pStyle w:val="aff8"/>
        <w:rPr>
          <w:b/>
          <w:bCs/>
        </w:rPr>
      </w:pPr>
    </w:p>
    <w:p w14:paraId="3E0ABF1F" w14:textId="77777777" w:rsidR="0035415A" w:rsidRDefault="0035415A">
      <w:pPr>
        <w:pStyle w:val="aff8"/>
        <w:rPr>
          <w:b/>
          <w:bCs/>
        </w:rPr>
      </w:pPr>
    </w:p>
    <w:p w14:paraId="3D52D25E" w14:textId="77777777" w:rsidR="0035415A" w:rsidRDefault="0035415A">
      <w:pPr>
        <w:pStyle w:val="afffffff"/>
        <w:framePr w:hSpace="0" w:vSpace="0" w:wrap="auto" w:vAnchor="margin" w:hAnchor="text" w:xAlign="left" w:yAlign="inline"/>
        <w:rPr>
          <w:b/>
          <w:bCs/>
        </w:rPr>
      </w:pPr>
    </w:p>
    <w:sectPr w:rsidR="0035415A">
      <w:footerReference w:type="default" r:id="rId13"/>
      <w:pgSz w:w="16838" w:h="11906" w:orient="landscape"/>
      <w:pgMar w:top="1418" w:right="567" w:bottom="1134" w:left="1134"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4EB2" w14:textId="77777777" w:rsidR="006026FA" w:rsidRDefault="006026FA">
      <w:r>
        <w:separator/>
      </w:r>
    </w:p>
  </w:endnote>
  <w:endnote w:type="continuationSeparator" w:id="0">
    <w:p w14:paraId="0A9605F4" w14:textId="77777777" w:rsidR="006026FA" w:rsidRDefault="0060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CF5D" w14:textId="77777777" w:rsidR="0035415A" w:rsidRDefault="00000000">
    <w:pPr>
      <w:pStyle w:val="afffe"/>
    </w:pPr>
    <w:r>
      <w:fldChar w:fldCharType="begin"/>
    </w:r>
    <w:r>
      <w:instrText xml:space="preserve"> PAGE  \* MERGEFORMAT </w:instrText>
    </w:r>
    <w:r>
      <w:fldChar w:fldCharType="separate"/>
    </w:r>
    <w: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210348"/>
    </w:sdtPr>
    <w:sdtContent>
      <w:p w14:paraId="6E0A40EC" w14:textId="77777777" w:rsidR="0035415A" w:rsidRDefault="00000000">
        <w:pPr>
          <w:pStyle w:val="affd"/>
        </w:pPr>
        <w:r>
          <w:fldChar w:fldCharType="begin"/>
        </w:r>
        <w:r>
          <w:instrText>PAGE   \* MERGEFORMAT</w:instrText>
        </w:r>
        <w:r>
          <w:fldChar w:fldCharType="separate"/>
        </w:r>
        <w:r>
          <w:rPr>
            <w:lang w:val="zh-CN"/>
          </w:rPr>
          <w:t>30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E66F" w14:textId="77777777" w:rsidR="006026FA" w:rsidRDefault="006026FA">
      <w:r>
        <w:separator/>
      </w:r>
    </w:p>
  </w:footnote>
  <w:footnote w:type="continuationSeparator" w:id="0">
    <w:p w14:paraId="6CA08E13" w14:textId="77777777" w:rsidR="006026FA" w:rsidRDefault="0060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F306" w14:textId="77777777" w:rsidR="0035415A" w:rsidRDefault="00000000">
    <w:pPr>
      <w:pStyle w:val="afff"/>
      <w:rPr>
        <w:rFonts w:ascii="黑体" w:eastAsia="黑体" w:hAnsi="黑体"/>
      </w:rPr>
    </w:pPr>
    <w:r>
      <w:rPr>
        <w:rFonts w:ascii="黑体" w:eastAsia="黑体" w:hAnsi="黑体" w:hint="eastAsia"/>
      </w:rPr>
      <w:t>T/CREA 011—2022</w:t>
    </w:r>
  </w:p>
  <w:p w14:paraId="7CE60A50" w14:textId="77777777" w:rsidR="0035415A" w:rsidRDefault="0035415A">
    <w:pPr>
      <w:pStyle w:val="afff"/>
      <w:rPr>
        <w:rFonts w:ascii="黑体" w:eastAsia="黑体" w:hAnsi="黑体"/>
      </w:rPr>
    </w:pPr>
  </w:p>
  <w:p w14:paraId="202696CD" w14:textId="77777777" w:rsidR="0035415A" w:rsidRDefault="0035415A">
    <w:pPr>
      <w:pStyle w:val="afff"/>
      <w:rPr>
        <w:rFonts w:ascii="黑体" w:eastAsia="黑体" w:hAnsi="黑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659698"/>
    <w:multiLevelType w:val="singleLevel"/>
    <w:tmpl w:val="8B659698"/>
    <w:lvl w:ilvl="0">
      <w:start w:val="1"/>
      <w:numFmt w:val="lowerLetter"/>
      <w:lvlText w:val="%1."/>
      <w:lvlJc w:val="left"/>
      <w:pPr>
        <w:ind w:left="425" w:hanging="425"/>
      </w:pPr>
      <w:rPr>
        <w:rFonts w:hint="default"/>
      </w:rPr>
    </w:lvl>
  </w:abstractNum>
  <w:abstractNum w:abstractNumId="1" w15:restartNumberingAfterBreak="0">
    <w:nsid w:val="A741B960"/>
    <w:multiLevelType w:val="singleLevel"/>
    <w:tmpl w:val="A741B960"/>
    <w:lvl w:ilvl="0">
      <w:start w:val="1"/>
      <w:numFmt w:val="decimal"/>
      <w:suff w:val="nothing"/>
      <w:lvlText w:val="（%1）"/>
      <w:lvlJc w:val="left"/>
    </w:lvl>
  </w:abstractNum>
  <w:abstractNum w:abstractNumId="2" w15:restartNumberingAfterBreak="0">
    <w:nsid w:val="B0990928"/>
    <w:multiLevelType w:val="multilevel"/>
    <w:tmpl w:val="B0990928"/>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EC041503"/>
    <w:multiLevelType w:val="singleLevel"/>
    <w:tmpl w:val="EC041503"/>
    <w:lvl w:ilvl="0">
      <w:start w:val="1"/>
      <w:numFmt w:val="lowerLetter"/>
      <w:lvlText w:val="%1."/>
      <w:lvlJc w:val="left"/>
      <w:pPr>
        <w:ind w:left="425" w:hanging="425"/>
      </w:pPr>
      <w:rPr>
        <w:rFonts w:hint="default"/>
      </w:rPr>
    </w:lvl>
  </w:abstractNum>
  <w:abstractNum w:abstractNumId="4" w15:restartNumberingAfterBreak="0">
    <w:nsid w:val="FC71B50A"/>
    <w:multiLevelType w:val="singleLevel"/>
    <w:tmpl w:val="FC71B50A"/>
    <w:lvl w:ilvl="0">
      <w:start w:val="1"/>
      <w:numFmt w:val="decimal"/>
      <w:suff w:val="nothing"/>
      <w:lvlText w:val="（%1）"/>
      <w:lvlJc w:val="left"/>
    </w:lvl>
  </w:abstractNum>
  <w:abstractNum w:abstractNumId="5" w15:restartNumberingAfterBreak="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 w15:restartNumberingAfterBreak="0">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7"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9" w15:restartNumberingAfterBreak="0">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0"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3" w15:restartNumberingAfterBreak="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6"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15:restartNumberingAfterBreak="0">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8" w15:restartNumberingAfterBreak="0">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1" w15:restartNumberingAfterBreak="0">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1703748347">
    <w:abstractNumId w:val="12"/>
  </w:num>
  <w:num w:numId="2" w16cid:durableId="155848266">
    <w:abstractNumId w:val="7"/>
  </w:num>
  <w:num w:numId="3" w16cid:durableId="457335377">
    <w:abstractNumId w:val="11"/>
  </w:num>
  <w:num w:numId="4" w16cid:durableId="1804804744">
    <w:abstractNumId w:val="17"/>
  </w:num>
  <w:num w:numId="5" w16cid:durableId="638532480">
    <w:abstractNumId w:val="13"/>
  </w:num>
  <w:num w:numId="6" w16cid:durableId="1948852180">
    <w:abstractNumId w:val="6"/>
  </w:num>
  <w:num w:numId="7" w16cid:durableId="1480998022">
    <w:abstractNumId w:val="15"/>
  </w:num>
  <w:num w:numId="8" w16cid:durableId="961883839">
    <w:abstractNumId w:val="20"/>
  </w:num>
  <w:num w:numId="9" w16cid:durableId="282001802">
    <w:abstractNumId w:val="9"/>
  </w:num>
  <w:num w:numId="10" w16cid:durableId="517086942">
    <w:abstractNumId w:val="5"/>
  </w:num>
  <w:num w:numId="11" w16cid:durableId="234779438">
    <w:abstractNumId w:val="19"/>
  </w:num>
  <w:num w:numId="12" w16cid:durableId="2105294609">
    <w:abstractNumId w:val="16"/>
  </w:num>
  <w:num w:numId="13" w16cid:durableId="1954509915">
    <w:abstractNumId w:val="21"/>
  </w:num>
  <w:num w:numId="14" w16cid:durableId="2041776818">
    <w:abstractNumId w:val="10"/>
  </w:num>
  <w:num w:numId="15" w16cid:durableId="112670621">
    <w:abstractNumId w:val="8"/>
  </w:num>
  <w:num w:numId="16" w16cid:durableId="1485001336">
    <w:abstractNumId w:val="18"/>
  </w:num>
  <w:num w:numId="17" w16cid:durableId="1537886609">
    <w:abstractNumId w:val="14"/>
  </w:num>
  <w:num w:numId="18" w16cid:durableId="1923949561">
    <w:abstractNumId w:val="3"/>
  </w:num>
  <w:num w:numId="19" w16cid:durableId="1949115064">
    <w:abstractNumId w:val="2"/>
  </w:num>
  <w:num w:numId="20" w16cid:durableId="19373209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59275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67169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86772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8649776">
    <w:abstractNumId w:val="0"/>
  </w:num>
  <w:num w:numId="25" w16cid:durableId="3410131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57906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392540">
    <w:abstractNumId w:val="4"/>
  </w:num>
  <w:num w:numId="28" w16cid:durableId="731149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JhYTg1OTZkODcxYWY3YWZmMzIzYmMwOTQ3N2RhODAifQ=="/>
  </w:docVars>
  <w:rsids>
    <w:rsidRoot w:val="00035925"/>
    <w:rsid w:val="00000244"/>
    <w:rsid w:val="00000A89"/>
    <w:rsid w:val="00000BB3"/>
    <w:rsid w:val="0000185F"/>
    <w:rsid w:val="00004B91"/>
    <w:rsid w:val="00004E32"/>
    <w:rsid w:val="0000586F"/>
    <w:rsid w:val="00007505"/>
    <w:rsid w:val="000075AC"/>
    <w:rsid w:val="00013D86"/>
    <w:rsid w:val="00013E02"/>
    <w:rsid w:val="000156EE"/>
    <w:rsid w:val="000165CC"/>
    <w:rsid w:val="00021070"/>
    <w:rsid w:val="0002143C"/>
    <w:rsid w:val="000230AB"/>
    <w:rsid w:val="00025A65"/>
    <w:rsid w:val="00026B55"/>
    <w:rsid w:val="00026C31"/>
    <w:rsid w:val="00027280"/>
    <w:rsid w:val="00027501"/>
    <w:rsid w:val="0002794E"/>
    <w:rsid w:val="00027B36"/>
    <w:rsid w:val="00030DA8"/>
    <w:rsid w:val="000320A7"/>
    <w:rsid w:val="000325EA"/>
    <w:rsid w:val="00032E0A"/>
    <w:rsid w:val="0003340C"/>
    <w:rsid w:val="00033B39"/>
    <w:rsid w:val="00034D2D"/>
    <w:rsid w:val="00035925"/>
    <w:rsid w:val="00036C2C"/>
    <w:rsid w:val="000442E4"/>
    <w:rsid w:val="00045A7C"/>
    <w:rsid w:val="00047931"/>
    <w:rsid w:val="000541CF"/>
    <w:rsid w:val="000552D7"/>
    <w:rsid w:val="00055371"/>
    <w:rsid w:val="00056A24"/>
    <w:rsid w:val="00057CE5"/>
    <w:rsid w:val="000607A3"/>
    <w:rsid w:val="00060C6A"/>
    <w:rsid w:val="00063E61"/>
    <w:rsid w:val="00064E45"/>
    <w:rsid w:val="000657F7"/>
    <w:rsid w:val="00066279"/>
    <w:rsid w:val="00067CDF"/>
    <w:rsid w:val="000709E3"/>
    <w:rsid w:val="00074FBE"/>
    <w:rsid w:val="00075102"/>
    <w:rsid w:val="0007762A"/>
    <w:rsid w:val="000779B8"/>
    <w:rsid w:val="00081F6E"/>
    <w:rsid w:val="00082210"/>
    <w:rsid w:val="00083A09"/>
    <w:rsid w:val="00083F5E"/>
    <w:rsid w:val="000855B6"/>
    <w:rsid w:val="00085ECB"/>
    <w:rsid w:val="00087899"/>
    <w:rsid w:val="0009005E"/>
    <w:rsid w:val="000918A9"/>
    <w:rsid w:val="000919A3"/>
    <w:rsid w:val="00092001"/>
    <w:rsid w:val="00092618"/>
    <w:rsid w:val="00092857"/>
    <w:rsid w:val="00092BD8"/>
    <w:rsid w:val="000930CD"/>
    <w:rsid w:val="00095E48"/>
    <w:rsid w:val="000964C7"/>
    <w:rsid w:val="000979D9"/>
    <w:rsid w:val="000A13A0"/>
    <w:rsid w:val="000A1A8C"/>
    <w:rsid w:val="000A20A9"/>
    <w:rsid w:val="000A48B1"/>
    <w:rsid w:val="000A61BE"/>
    <w:rsid w:val="000B2C50"/>
    <w:rsid w:val="000B2F0E"/>
    <w:rsid w:val="000B3143"/>
    <w:rsid w:val="000B36B3"/>
    <w:rsid w:val="000B3AE9"/>
    <w:rsid w:val="000B405D"/>
    <w:rsid w:val="000B4DBD"/>
    <w:rsid w:val="000B63FE"/>
    <w:rsid w:val="000C1C58"/>
    <w:rsid w:val="000C2BE6"/>
    <w:rsid w:val="000C6753"/>
    <w:rsid w:val="000C6B05"/>
    <w:rsid w:val="000C6DD6"/>
    <w:rsid w:val="000C73D4"/>
    <w:rsid w:val="000D3D4C"/>
    <w:rsid w:val="000D4F51"/>
    <w:rsid w:val="000D5A88"/>
    <w:rsid w:val="000D718B"/>
    <w:rsid w:val="000E01FB"/>
    <w:rsid w:val="000E0C46"/>
    <w:rsid w:val="000E15EE"/>
    <w:rsid w:val="000E3676"/>
    <w:rsid w:val="000E45F3"/>
    <w:rsid w:val="000E480C"/>
    <w:rsid w:val="000F030C"/>
    <w:rsid w:val="000F129C"/>
    <w:rsid w:val="000F174F"/>
    <w:rsid w:val="000F216D"/>
    <w:rsid w:val="000F510D"/>
    <w:rsid w:val="00103CFC"/>
    <w:rsid w:val="00104E29"/>
    <w:rsid w:val="00104F1B"/>
    <w:rsid w:val="00105480"/>
    <w:rsid w:val="001056DE"/>
    <w:rsid w:val="00111D55"/>
    <w:rsid w:val="001124C0"/>
    <w:rsid w:val="00113902"/>
    <w:rsid w:val="00114AED"/>
    <w:rsid w:val="00115006"/>
    <w:rsid w:val="00117A25"/>
    <w:rsid w:val="001210C5"/>
    <w:rsid w:val="00121293"/>
    <w:rsid w:val="00122AE9"/>
    <w:rsid w:val="00122BBB"/>
    <w:rsid w:val="00126C5C"/>
    <w:rsid w:val="00130561"/>
    <w:rsid w:val="00130873"/>
    <w:rsid w:val="0013175F"/>
    <w:rsid w:val="00132850"/>
    <w:rsid w:val="0013364D"/>
    <w:rsid w:val="001343BB"/>
    <w:rsid w:val="001403C9"/>
    <w:rsid w:val="001407F5"/>
    <w:rsid w:val="00140F58"/>
    <w:rsid w:val="00143FDE"/>
    <w:rsid w:val="00144E8E"/>
    <w:rsid w:val="00145817"/>
    <w:rsid w:val="001512B4"/>
    <w:rsid w:val="00153A26"/>
    <w:rsid w:val="00156143"/>
    <w:rsid w:val="001600B1"/>
    <w:rsid w:val="00160EC6"/>
    <w:rsid w:val="001620A5"/>
    <w:rsid w:val="00162C17"/>
    <w:rsid w:val="00164E53"/>
    <w:rsid w:val="00165D35"/>
    <w:rsid w:val="0016699D"/>
    <w:rsid w:val="00167082"/>
    <w:rsid w:val="001670D9"/>
    <w:rsid w:val="00167925"/>
    <w:rsid w:val="00167FA9"/>
    <w:rsid w:val="001721FB"/>
    <w:rsid w:val="0017490D"/>
    <w:rsid w:val="00175159"/>
    <w:rsid w:val="00175AD7"/>
    <w:rsid w:val="00176208"/>
    <w:rsid w:val="0017741A"/>
    <w:rsid w:val="0017780C"/>
    <w:rsid w:val="001813B2"/>
    <w:rsid w:val="0018211B"/>
    <w:rsid w:val="001839B6"/>
    <w:rsid w:val="00183FE1"/>
    <w:rsid w:val="001840D3"/>
    <w:rsid w:val="00184782"/>
    <w:rsid w:val="00184DE6"/>
    <w:rsid w:val="00185DF0"/>
    <w:rsid w:val="00185FB5"/>
    <w:rsid w:val="00187A8A"/>
    <w:rsid w:val="001900F8"/>
    <w:rsid w:val="00191258"/>
    <w:rsid w:val="00192680"/>
    <w:rsid w:val="00193037"/>
    <w:rsid w:val="00193375"/>
    <w:rsid w:val="00193A2C"/>
    <w:rsid w:val="00194171"/>
    <w:rsid w:val="001960B6"/>
    <w:rsid w:val="00197EFE"/>
    <w:rsid w:val="001A288E"/>
    <w:rsid w:val="001A4995"/>
    <w:rsid w:val="001A5EDB"/>
    <w:rsid w:val="001B1D63"/>
    <w:rsid w:val="001B36ED"/>
    <w:rsid w:val="001B3D3A"/>
    <w:rsid w:val="001B648E"/>
    <w:rsid w:val="001B6DC2"/>
    <w:rsid w:val="001B754B"/>
    <w:rsid w:val="001C0C37"/>
    <w:rsid w:val="001C12DC"/>
    <w:rsid w:val="001C149C"/>
    <w:rsid w:val="001C21AC"/>
    <w:rsid w:val="001C3689"/>
    <w:rsid w:val="001C47BA"/>
    <w:rsid w:val="001C59EA"/>
    <w:rsid w:val="001D3556"/>
    <w:rsid w:val="001D406C"/>
    <w:rsid w:val="001D41EE"/>
    <w:rsid w:val="001D4BEB"/>
    <w:rsid w:val="001D50C7"/>
    <w:rsid w:val="001D69F1"/>
    <w:rsid w:val="001D71E6"/>
    <w:rsid w:val="001E0380"/>
    <w:rsid w:val="001E0B1B"/>
    <w:rsid w:val="001E13B1"/>
    <w:rsid w:val="001E1C9B"/>
    <w:rsid w:val="001E2153"/>
    <w:rsid w:val="001E5487"/>
    <w:rsid w:val="001F3A19"/>
    <w:rsid w:val="001F74D2"/>
    <w:rsid w:val="00200871"/>
    <w:rsid w:val="002009E4"/>
    <w:rsid w:val="00201053"/>
    <w:rsid w:val="0020251B"/>
    <w:rsid w:val="00203809"/>
    <w:rsid w:val="00203ADF"/>
    <w:rsid w:val="002073D3"/>
    <w:rsid w:val="00212EBD"/>
    <w:rsid w:val="00212FCA"/>
    <w:rsid w:val="002138A6"/>
    <w:rsid w:val="00215D48"/>
    <w:rsid w:val="0021624B"/>
    <w:rsid w:val="0021631F"/>
    <w:rsid w:val="0022185E"/>
    <w:rsid w:val="00221DDA"/>
    <w:rsid w:val="00225D18"/>
    <w:rsid w:val="00227FED"/>
    <w:rsid w:val="0023030A"/>
    <w:rsid w:val="00230F08"/>
    <w:rsid w:val="002322A2"/>
    <w:rsid w:val="00234467"/>
    <w:rsid w:val="00235BE6"/>
    <w:rsid w:val="00237D8D"/>
    <w:rsid w:val="0024085B"/>
    <w:rsid w:val="00241DA2"/>
    <w:rsid w:val="002434A2"/>
    <w:rsid w:val="0024511E"/>
    <w:rsid w:val="0024590F"/>
    <w:rsid w:val="00247FEE"/>
    <w:rsid w:val="00250E7D"/>
    <w:rsid w:val="00250FB7"/>
    <w:rsid w:val="002523DB"/>
    <w:rsid w:val="002527DD"/>
    <w:rsid w:val="00252A70"/>
    <w:rsid w:val="00252DAA"/>
    <w:rsid w:val="00252F56"/>
    <w:rsid w:val="0025320C"/>
    <w:rsid w:val="002563B2"/>
    <w:rsid w:val="002565D5"/>
    <w:rsid w:val="002568F8"/>
    <w:rsid w:val="00256A7F"/>
    <w:rsid w:val="002622C0"/>
    <w:rsid w:val="00266F58"/>
    <w:rsid w:val="00270FDC"/>
    <w:rsid w:val="00271B0C"/>
    <w:rsid w:val="002778AE"/>
    <w:rsid w:val="00280F0E"/>
    <w:rsid w:val="0028269A"/>
    <w:rsid w:val="00283590"/>
    <w:rsid w:val="00283962"/>
    <w:rsid w:val="00286625"/>
    <w:rsid w:val="00286973"/>
    <w:rsid w:val="00287674"/>
    <w:rsid w:val="00292317"/>
    <w:rsid w:val="002927EB"/>
    <w:rsid w:val="002938A4"/>
    <w:rsid w:val="00294E70"/>
    <w:rsid w:val="002954B8"/>
    <w:rsid w:val="002967B2"/>
    <w:rsid w:val="002A1924"/>
    <w:rsid w:val="002A4C81"/>
    <w:rsid w:val="002A7420"/>
    <w:rsid w:val="002A7A7E"/>
    <w:rsid w:val="002B0F12"/>
    <w:rsid w:val="002B11A8"/>
    <w:rsid w:val="002B1308"/>
    <w:rsid w:val="002B2A6A"/>
    <w:rsid w:val="002B4554"/>
    <w:rsid w:val="002B5E2B"/>
    <w:rsid w:val="002B707C"/>
    <w:rsid w:val="002C129E"/>
    <w:rsid w:val="002C250A"/>
    <w:rsid w:val="002C3DDA"/>
    <w:rsid w:val="002C72D8"/>
    <w:rsid w:val="002D085F"/>
    <w:rsid w:val="002D11FA"/>
    <w:rsid w:val="002D17BC"/>
    <w:rsid w:val="002D19A4"/>
    <w:rsid w:val="002D6352"/>
    <w:rsid w:val="002D68DB"/>
    <w:rsid w:val="002E0DDF"/>
    <w:rsid w:val="002E1862"/>
    <w:rsid w:val="002E2906"/>
    <w:rsid w:val="002E2CD1"/>
    <w:rsid w:val="002E5635"/>
    <w:rsid w:val="002E5C71"/>
    <w:rsid w:val="002E64C3"/>
    <w:rsid w:val="002E6A2C"/>
    <w:rsid w:val="002F035E"/>
    <w:rsid w:val="002F0F15"/>
    <w:rsid w:val="002F0FE8"/>
    <w:rsid w:val="002F1D8C"/>
    <w:rsid w:val="002F21DA"/>
    <w:rsid w:val="002F34B8"/>
    <w:rsid w:val="002F37CA"/>
    <w:rsid w:val="002F6C15"/>
    <w:rsid w:val="003002AF"/>
    <w:rsid w:val="0030189A"/>
    <w:rsid w:val="00301922"/>
    <w:rsid w:val="00301F39"/>
    <w:rsid w:val="00303D27"/>
    <w:rsid w:val="00305BEE"/>
    <w:rsid w:val="003068A0"/>
    <w:rsid w:val="00311D9C"/>
    <w:rsid w:val="00312168"/>
    <w:rsid w:val="00313962"/>
    <w:rsid w:val="00320E64"/>
    <w:rsid w:val="0032227F"/>
    <w:rsid w:val="003234E0"/>
    <w:rsid w:val="0032512B"/>
    <w:rsid w:val="00325926"/>
    <w:rsid w:val="00327096"/>
    <w:rsid w:val="00327A8A"/>
    <w:rsid w:val="00330B8B"/>
    <w:rsid w:val="003339A3"/>
    <w:rsid w:val="00333D60"/>
    <w:rsid w:val="0033461B"/>
    <w:rsid w:val="00336484"/>
    <w:rsid w:val="00336610"/>
    <w:rsid w:val="00341F5C"/>
    <w:rsid w:val="00343D23"/>
    <w:rsid w:val="00343F73"/>
    <w:rsid w:val="00345060"/>
    <w:rsid w:val="003451FB"/>
    <w:rsid w:val="00345F12"/>
    <w:rsid w:val="00351F7E"/>
    <w:rsid w:val="00352629"/>
    <w:rsid w:val="0035323B"/>
    <w:rsid w:val="00353D19"/>
    <w:rsid w:val="0035415A"/>
    <w:rsid w:val="0035430F"/>
    <w:rsid w:val="0035785A"/>
    <w:rsid w:val="003609D2"/>
    <w:rsid w:val="00363F22"/>
    <w:rsid w:val="00364940"/>
    <w:rsid w:val="003703F3"/>
    <w:rsid w:val="003714A6"/>
    <w:rsid w:val="003722CF"/>
    <w:rsid w:val="00375564"/>
    <w:rsid w:val="00375998"/>
    <w:rsid w:val="00376489"/>
    <w:rsid w:val="003768A1"/>
    <w:rsid w:val="00377824"/>
    <w:rsid w:val="003778B5"/>
    <w:rsid w:val="003818A4"/>
    <w:rsid w:val="00383191"/>
    <w:rsid w:val="00385627"/>
    <w:rsid w:val="00386DED"/>
    <w:rsid w:val="003912E7"/>
    <w:rsid w:val="00393947"/>
    <w:rsid w:val="0039490C"/>
    <w:rsid w:val="00394F85"/>
    <w:rsid w:val="00395141"/>
    <w:rsid w:val="003967C5"/>
    <w:rsid w:val="00397A01"/>
    <w:rsid w:val="003A0C3F"/>
    <w:rsid w:val="003A0E27"/>
    <w:rsid w:val="003A14AD"/>
    <w:rsid w:val="003A2275"/>
    <w:rsid w:val="003A486D"/>
    <w:rsid w:val="003A6A4F"/>
    <w:rsid w:val="003A7088"/>
    <w:rsid w:val="003B00DF"/>
    <w:rsid w:val="003B1275"/>
    <w:rsid w:val="003B1778"/>
    <w:rsid w:val="003B2803"/>
    <w:rsid w:val="003B53AE"/>
    <w:rsid w:val="003C023B"/>
    <w:rsid w:val="003C11CB"/>
    <w:rsid w:val="003C3017"/>
    <w:rsid w:val="003C4A24"/>
    <w:rsid w:val="003C515E"/>
    <w:rsid w:val="003C6A77"/>
    <w:rsid w:val="003C75F3"/>
    <w:rsid w:val="003C78A3"/>
    <w:rsid w:val="003D0EC8"/>
    <w:rsid w:val="003D0F33"/>
    <w:rsid w:val="003D36AB"/>
    <w:rsid w:val="003D6946"/>
    <w:rsid w:val="003E1867"/>
    <w:rsid w:val="003E2076"/>
    <w:rsid w:val="003E5729"/>
    <w:rsid w:val="003E724E"/>
    <w:rsid w:val="003E774B"/>
    <w:rsid w:val="003F115A"/>
    <w:rsid w:val="003F1D40"/>
    <w:rsid w:val="003F22BB"/>
    <w:rsid w:val="003F27E7"/>
    <w:rsid w:val="003F2A5B"/>
    <w:rsid w:val="003F4EE0"/>
    <w:rsid w:val="003F5559"/>
    <w:rsid w:val="003F6861"/>
    <w:rsid w:val="00400473"/>
    <w:rsid w:val="004005AB"/>
    <w:rsid w:val="00400AA9"/>
    <w:rsid w:val="00402153"/>
    <w:rsid w:val="004023FF"/>
    <w:rsid w:val="00402E26"/>
    <w:rsid w:val="00402FC1"/>
    <w:rsid w:val="00415158"/>
    <w:rsid w:val="004200D9"/>
    <w:rsid w:val="00425082"/>
    <w:rsid w:val="00430982"/>
    <w:rsid w:val="00431DEB"/>
    <w:rsid w:val="00433E87"/>
    <w:rsid w:val="0043657E"/>
    <w:rsid w:val="00440FED"/>
    <w:rsid w:val="004414C9"/>
    <w:rsid w:val="0044259D"/>
    <w:rsid w:val="004439D9"/>
    <w:rsid w:val="00446B29"/>
    <w:rsid w:val="004511D6"/>
    <w:rsid w:val="004524BE"/>
    <w:rsid w:val="00452778"/>
    <w:rsid w:val="00453082"/>
    <w:rsid w:val="00453F9A"/>
    <w:rsid w:val="00454CC3"/>
    <w:rsid w:val="00464903"/>
    <w:rsid w:val="004671F5"/>
    <w:rsid w:val="00471E91"/>
    <w:rsid w:val="0047315D"/>
    <w:rsid w:val="00474079"/>
    <w:rsid w:val="00474675"/>
    <w:rsid w:val="0047470C"/>
    <w:rsid w:val="00474F52"/>
    <w:rsid w:val="00480883"/>
    <w:rsid w:val="0048223A"/>
    <w:rsid w:val="004830E2"/>
    <w:rsid w:val="00483DDD"/>
    <w:rsid w:val="00484C88"/>
    <w:rsid w:val="004A09C4"/>
    <w:rsid w:val="004A203E"/>
    <w:rsid w:val="004A35F9"/>
    <w:rsid w:val="004A38FC"/>
    <w:rsid w:val="004A4662"/>
    <w:rsid w:val="004A6D31"/>
    <w:rsid w:val="004A7A3B"/>
    <w:rsid w:val="004A7E02"/>
    <w:rsid w:val="004B1194"/>
    <w:rsid w:val="004B157A"/>
    <w:rsid w:val="004B24C1"/>
    <w:rsid w:val="004B3092"/>
    <w:rsid w:val="004B49B1"/>
    <w:rsid w:val="004B557C"/>
    <w:rsid w:val="004C22E0"/>
    <w:rsid w:val="004C292F"/>
    <w:rsid w:val="004C43B8"/>
    <w:rsid w:val="004C5049"/>
    <w:rsid w:val="004C657F"/>
    <w:rsid w:val="004D306F"/>
    <w:rsid w:val="004D3D0C"/>
    <w:rsid w:val="004D4B02"/>
    <w:rsid w:val="004D4F76"/>
    <w:rsid w:val="004D55C2"/>
    <w:rsid w:val="004D6F2C"/>
    <w:rsid w:val="004E4B13"/>
    <w:rsid w:val="004E4B8C"/>
    <w:rsid w:val="004E5172"/>
    <w:rsid w:val="004E5423"/>
    <w:rsid w:val="004E5A47"/>
    <w:rsid w:val="004E7E23"/>
    <w:rsid w:val="004F0947"/>
    <w:rsid w:val="005036E2"/>
    <w:rsid w:val="00510280"/>
    <w:rsid w:val="00511EA7"/>
    <w:rsid w:val="00513D73"/>
    <w:rsid w:val="005148B3"/>
    <w:rsid w:val="00514A43"/>
    <w:rsid w:val="00515E9C"/>
    <w:rsid w:val="005174E5"/>
    <w:rsid w:val="00520898"/>
    <w:rsid w:val="00521286"/>
    <w:rsid w:val="00522393"/>
    <w:rsid w:val="00522620"/>
    <w:rsid w:val="00524E94"/>
    <w:rsid w:val="00525656"/>
    <w:rsid w:val="00525BF3"/>
    <w:rsid w:val="00530E6E"/>
    <w:rsid w:val="005311EA"/>
    <w:rsid w:val="00534C02"/>
    <w:rsid w:val="0053708C"/>
    <w:rsid w:val="0054044C"/>
    <w:rsid w:val="00541A0D"/>
    <w:rsid w:val="0054264B"/>
    <w:rsid w:val="00543786"/>
    <w:rsid w:val="00545A49"/>
    <w:rsid w:val="005463CC"/>
    <w:rsid w:val="00546D0D"/>
    <w:rsid w:val="0055153A"/>
    <w:rsid w:val="005533D7"/>
    <w:rsid w:val="005537E2"/>
    <w:rsid w:val="00554B63"/>
    <w:rsid w:val="00554D5E"/>
    <w:rsid w:val="00555D16"/>
    <w:rsid w:val="005560F1"/>
    <w:rsid w:val="0055639C"/>
    <w:rsid w:val="00562066"/>
    <w:rsid w:val="0056290C"/>
    <w:rsid w:val="005629A1"/>
    <w:rsid w:val="00562CF6"/>
    <w:rsid w:val="0056544B"/>
    <w:rsid w:val="00566E74"/>
    <w:rsid w:val="00567177"/>
    <w:rsid w:val="0057039E"/>
    <w:rsid w:val="005703DE"/>
    <w:rsid w:val="00570B0A"/>
    <w:rsid w:val="005710BC"/>
    <w:rsid w:val="0057210F"/>
    <w:rsid w:val="005731D5"/>
    <w:rsid w:val="005755F1"/>
    <w:rsid w:val="00577FC5"/>
    <w:rsid w:val="00581044"/>
    <w:rsid w:val="00582BBE"/>
    <w:rsid w:val="00583FDC"/>
    <w:rsid w:val="0058464E"/>
    <w:rsid w:val="00585181"/>
    <w:rsid w:val="0058650E"/>
    <w:rsid w:val="00591FBB"/>
    <w:rsid w:val="005A01CB"/>
    <w:rsid w:val="005A19A9"/>
    <w:rsid w:val="005A1C38"/>
    <w:rsid w:val="005A46D5"/>
    <w:rsid w:val="005A58FF"/>
    <w:rsid w:val="005A5EAF"/>
    <w:rsid w:val="005A6491"/>
    <w:rsid w:val="005A64C0"/>
    <w:rsid w:val="005A6634"/>
    <w:rsid w:val="005A69AC"/>
    <w:rsid w:val="005B021B"/>
    <w:rsid w:val="005B1985"/>
    <w:rsid w:val="005B311E"/>
    <w:rsid w:val="005B3C11"/>
    <w:rsid w:val="005B4C6C"/>
    <w:rsid w:val="005C0298"/>
    <w:rsid w:val="005C1C28"/>
    <w:rsid w:val="005C43D0"/>
    <w:rsid w:val="005C4A15"/>
    <w:rsid w:val="005C6283"/>
    <w:rsid w:val="005C6DB5"/>
    <w:rsid w:val="005C7266"/>
    <w:rsid w:val="005D0667"/>
    <w:rsid w:val="005D1BF3"/>
    <w:rsid w:val="005D3842"/>
    <w:rsid w:val="005D4717"/>
    <w:rsid w:val="005D6130"/>
    <w:rsid w:val="005D74A8"/>
    <w:rsid w:val="005E19E7"/>
    <w:rsid w:val="005E2392"/>
    <w:rsid w:val="005F1841"/>
    <w:rsid w:val="005F3C89"/>
    <w:rsid w:val="005F7C92"/>
    <w:rsid w:val="00601622"/>
    <w:rsid w:val="00601849"/>
    <w:rsid w:val="00601E00"/>
    <w:rsid w:val="006026FA"/>
    <w:rsid w:val="00603EC7"/>
    <w:rsid w:val="0060789B"/>
    <w:rsid w:val="0061037E"/>
    <w:rsid w:val="00613FAA"/>
    <w:rsid w:val="00616C36"/>
    <w:rsid w:val="0061716C"/>
    <w:rsid w:val="006171AF"/>
    <w:rsid w:val="00617749"/>
    <w:rsid w:val="00617868"/>
    <w:rsid w:val="00622B45"/>
    <w:rsid w:val="006243A1"/>
    <w:rsid w:val="00626005"/>
    <w:rsid w:val="00627D0D"/>
    <w:rsid w:val="00632E56"/>
    <w:rsid w:val="00633D7B"/>
    <w:rsid w:val="00635CBA"/>
    <w:rsid w:val="00636098"/>
    <w:rsid w:val="00636EFC"/>
    <w:rsid w:val="0064115B"/>
    <w:rsid w:val="0064338B"/>
    <w:rsid w:val="00646542"/>
    <w:rsid w:val="006504F4"/>
    <w:rsid w:val="0065366F"/>
    <w:rsid w:val="00654BC9"/>
    <w:rsid w:val="006552FD"/>
    <w:rsid w:val="00656F0B"/>
    <w:rsid w:val="00657217"/>
    <w:rsid w:val="00657341"/>
    <w:rsid w:val="00663733"/>
    <w:rsid w:val="00663AF3"/>
    <w:rsid w:val="00666B6C"/>
    <w:rsid w:val="00670D85"/>
    <w:rsid w:val="00672E71"/>
    <w:rsid w:val="00674C58"/>
    <w:rsid w:val="00677B54"/>
    <w:rsid w:val="006807BE"/>
    <w:rsid w:val="00682682"/>
    <w:rsid w:val="00682702"/>
    <w:rsid w:val="00687FC9"/>
    <w:rsid w:val="006902F8"/>
    <w:rsid w:val="00690335"/>
    <w:rsid w:val="00690477"/>
    <w:rsid w:val="00691325"/>
    <w:rsid w:val="00692368"/>
    <w:rsid w:val="00695192"/>
    <w:rsid w:val="006A272F"/>
    <w:rsid w:val="006A2EBC"/>
    <w:rsid w:val="006A5149"/>
    <w:rsid w:val="006A5EA0"/>
    <w:rsid w:val="006A783B"/>
    <w:rsid w:val="006A7B33"/>
    <w:rsid w:val="006B23B5"/>
    <w:rsid w:val="006B36A9"/>
    <w:rsid w:val="006B497F"/>
    <w:rsid w:val="006B4E13"/>
    <w:rsid w:val="006B6A25"/>
    <w:rsid w:val="006B75DD"/>
    <w:rsid w:val="006B7BC0"/>
    <w:rsid w:val="006C047C"/>
    <w:rsid w:val="006C270B"/>
    <w:rsid w:val="006C2CFB"/>
    <w:rsid w:val="006C3D8B"/>
    <w:rsid w:val="006C67E0"/>
    <w:rsid w:val="006C79C5"/>
    <w:rsid w:val="006C7ABA"/>
    <w:rsid w:val="006C7BDD"/>
    <w:rsid w:val="006D0A13"/>
    <w:rsid w:val="006D0D60"/>
    <w:rsid w:val="006D1122"/>
    <w:rsid w:val="006D1828"/>
    <w:rsid w:val="006D317E"/>
    <w:rsid w:val="006D3B1E"/>
    <w:rsid w:val="006D3C00"/>
    <w:rsid w:val="006D763B"/>
    <w:rsid w:val="006E06AD"/>
    <w:rsid w:val="006E3675"/>
    <w:rsid w:val="006E4A7F"/>
    <w:rsid w:val="006E4B1D"/>
    <w:rsid w:val="006E71CD"/>
    <w:rsid w:val="006F0967"/>
    <w:rsid w:val="006F2274"/>
    <w:rsid w:val="006F2BC9"/>
    <w:rsid w:val="006F4822"/>
    <w:rsid w:val="006F60D9"/>
    <w:rsid w:val="006F64A0"/>
    <w:rsid w:val="006F6B89"/>
    <w:rsid w:val="006F7996"/>
    <w:rsid w:val="0070038F"/>
    <w:rsid w:val="00702607"/>
    <w:rsid w:val="007027B1"/>
    <w:rsid w:val="0070286C"/>
    <w:rsid w:val="0070437C"/>
    <w:rsid w:val="00704DF6"/>
    <w:rsid w:val="0070641D"/>
    <w:rsid w:val="0070651C"/>
    <w:rsid w:val="00711712"/>
    <w:rsid w:val="00711EF5"/>
    <w:rsid w:val="00711FEC"/>
    <w:rsid w:val="007132A3"/>
    <w:rsid w:val="00716421"/>
    <w:rsid w:val="00716923"/>
    <w:rsid w:val="007211FC"/>
    <w:rsid w:val="00721419"/>
    <w:rsid w:val="00724EFB"/>
    <w:rsid w:val="00726575"/>
    <w:rsid w:val="00727875"/>
    <w:rsid w:val="00730310"/>
    <w:rsid w:val="007314AA"/>
    <w:rsid w:val="00735054"/>
    <w:rsid w:val="00740A49"/>
    <w:rsid w:val="00741000"/>
    <w:rsid w:val="007419C3"/>
    <w:rsid w:val="007446A8"/>
    <w:rsid w:val="007453D9"/>
    <w:rsid w:val="00746559"/>
    <w:rsid w:val="007466AF"/>
    <w:rsid w:val="007467A7"/>
    <w:rsid w:val="007469DD"/>
    <w:rsid w:val="0074741B"/>
    <w:rsid w:val="0074759E"/>
    <w:rsid w:val="007478EA"/>
    <w:rsid w:val="00751277"/>
    <w:rsid w:val="00751C78"/>
    <w:rsid w:val="007529AE"/>
    <w:rsid w:val="0075415C"/>
    <w:rsid w:val="00757097"/>
    <w:rsid w:val="007606CB"/>
    <w:rsid w:val="00761E8B"/>
    <w:rsid w:val="00763502"/>
    <w:rsid w:val="00764447"/>
    <w:rsid w:val="007671FE"/>
    <w:rsid w:val="00773DF3"/>
    <w:rsid w:val="00774800"/>
    <w:rsid w:val="00780DE2"/>
    <w:rsid w:val="0078228A"/>
    <w:rsid w:val="007849CC"/>
    <w:rsid w:val="007901D3"/>
    <w:rsid w:val="007913AB"/>
    <w:rsid w:val="007914F7"/>
    <w:rsid w:val="00792688"/>
    <w:rsid w:val="00795143"/>
    <w:rsid w:val="00795C73"/>
    <w:rsid w:val="007A2BDB"/>
    <w:rsid w:val="007A4809"/>
    <w:rsid w:val="007A7009"/>
    <w:rsid w:val="007A7CEE"/>
    <w:rsid w:val="007B108F"/>
    <w:rsid w:val="007B1625"/>
    <w:rsid w:val="007B706E"/>
    <w:rsid w:val="007B71EB"/>
    <w:rsid w:val="007B7DAA"/>
    <w:rsid w:val="007C0748"/>
    <w:rsid w:val="007C393A"/>
    <w:rsid w:val="007C4AC3"/>
    <w:rsid w:val="007C5507"/>
    <w:rsid w:val="007C6205"/>
    <w:rsid w:val="007C686A"/>
    <w:rsid w:val="007C696B"/>
    <w:rsid w:val="007C728E"/>
    <w:rsid w:val="007D0BE0"/>
    <w:rsid w:val="007D204F"/>
    <w:rsid w:val="007D2250"/>
    <w:rsid w:val="007D2B9D"/>
    <w:rsid w:val="007D2C53"/>
    <w:rsid w:val="007D3D60"/>
    <w:rsid w:val="007E14EF"/>
    <w:rsid w:val="007E1980"/>
    <w:rsid w:val="007E22FF"/>
    <w:rsid w:val="007E4B76"/>
    <w:rsid w:val="007E5043"/>
    <w:rsid w:val="007E5EA8"/>
    <w:rsid w:val="007E7276"/>
    <w:rsid w:val="007F0CF1"/>
    <w:rsid w:val="007F12A5"/>
    <w:rsid w:val="007F2D74"/>
    <w:rsid w:val="007F3FB7"/>
    <w:rsid w:val="007F45F3"/>
    <w:rsid w:val="007F4CF1"/>
    <w:rsid w:val="007F511D"/>
    <w:rsid w:val="007F6931"/>
    <w:rsid w:val="007F758D"/>
    <w:rsid w:val="007F7D52"/>
    <w:rsid w:val="00801F95"/>
    <w:rsid w:val="00802D2A"/>
    <w:rsid w:val="008041E9"/>
    <w:rsid w:val="008046A8"/>
    <w:rsid w:val="0080484A"/>
    <w:rsid w:val="00804A68"/>
    <w:rsid w:val="00804F8F"/>
    <w:rsid w:val="00805589"/>
    <w:rsid w:val="008057A5"/>
    <w:rsid w:val="00805E2F"/>
    <w:rsid w:val="0080654C"/>
    <w:rsid w:val="0080666A"/>
    <w:rsid w:val="008071C6"/>
    <w:rsid w:val="00811D0E"/>
    <w:rsid w:val="00815716"/>
    <w:rsid w:val="00817A00"/>
    <w:rsid w:val="00820B95"/>
    <w:rsid w:val="00820C5B"/>
    <w:rsid w:val="00821732"/>
    <w:rsid w:val="00825891"/>
    <w:rsid w:val="00825AEB"/>
    <w:rsid w:val="00826C03"/>
    <w:rsid w:val="0083153F"/>
    <w:rsid w:val="00831631"/>
    <w:rsid w:val="00831EE0"/>
    <w:rsid w:val="0083228D"/>
    <w:rsid w:val="00833D07"/>
    <w:rsid w:val="00835DB3"/>
    <w:rsid w:val="0083617B"/>
    <w:rsid w:val="00836342"/>
    <w:rsid w:val="00836A2D"/>
    <w:rsid w:val="008371BD"/>
    <w:rsid w:val="00840EBF"/>
    <w:rsid w:val="008504A8"/>
    <w:rsid w:val="00851B58"/>
    <w:rsid w:val="0085282E"/>
    <w:rsid w:val="008530F3"/>
    <w:rsid w:val="0085341F"/>
    <w:rsid w:val="008563C2"/>
    <w:rsid w:val="00863A32"/>
    <w:rsid w:val="00867D22"/>
    <w:rsid w:val="0087198C"/>
    <w:rsid w:val="00872C1F"/>
    <w:rsid w:val="00873B42"/>
    <w:rsid w:val="00875A2E"/>
    <w:rsid w:val="00875D43"/>
    <w:rsid w:val="0087794E"/>
    <w:rsid w:val="00877CB0"/>
    <w:rsid w:val="008805AC"/>
    <w:rsid w:val="00880D1A"/>
    <w:rsid w:val="00884468"/>
    <w:rsid w:val="008853FE"/>
    <w:rsid w:val="008856D8"/>
    <w:rsid w:val="0089214C"/>
    <w:rsid w:val="00892E82"/>
    <w:rsid w:val="00893277"/>
    <w:rsid w:val="008943AB"/>
    <w:rsid w:val="00895FA9"/>
    <w:rsid w:val="008A1035"/>
    <w:rsid w:val="008A6E08"/>
    <w:rsid w:val="008B1B1B"/>
    <w:rsid w:val="008B1FE8"/>
    <w:rsid w:val="008B70B5"/>
    <w:rsid w:val="008C0BE9"/>
    <w:rsid w:val="008C1B58"/>
    <w:rsid w:val="008C39AE"/>
    <w:rsid w:val="008C40DF"/>
    <w:rsid w:val="008C4734"/>
    <w:rsid w:val="008C590D"/>
    <w:rsid w:val="008C7F38"/>
    <w:rsid w:val="008D1249"/>
    <w:rsid w:val="008D2E27"/>
    <w:rsid w:val="008D447E"/>
    <w:rsid w:val="008D7566"/>
    <w:rsid w:val="008E031B"/>
    <w:rsid w:val="008E0560"/>
    <w:rsid w:val="008E15DD"/>
    <w:rsid w:val="008E2D8C"/>
    <w:rsid w:val="008E30D9"/>
    <w:rsid w:val="008E4EC6"/>
    <w:rsid w:val="008E577C"/>
    <w:rsid w:val="008E6523"/>
    <w:rsid w:val="008E7029"/>
    <w:rsid w:val="008E7EF6"/>
    <w:rsid w:val="008F01AB"/>
    <w:rsid w:val="008F1F98"/>
    <w:rsid w:val="008F2340"/>
    <w:rsid w:val="008F2790"/>
    <w:rsid w:val="008F6758"/>
    <w:rsid w:val="008F6B00"/>
    <w:rsid w:val="008F780A"/>
    <w:rsid w:val="00900195"/>
    <w:rsid w:val="0090298A"/>
    <w:rsid w:val="00903E92"/>
    <w:rsid w:val="009040DD"/>
    <w:rsid w:val="009042C3"/>
    <w:rsid w:val="0090445F"/>
    <w:rsid w:val="00905B47"/>
    <w:rsid w:val="0090690F"/>
    <w:rsid w:val="00906A2E"/>
    <w:rsid w:val="00907DBF"/>
    <w:rsid w:val="00911391"/>
    <w:rsid w:val="0091331C"/>
    <w:rsid w:val="009137BD"/>
    <w:rsid w:val="0091421E"/>
    <w:rsid w:val="0091503D"/>
    <w:rsid w:val="00915AA3"/>
    <w:rsid w:val="0092275F"/>
    <w:rsid w:val="0092333B"/>
    <w:rsid w:val="009279DE"/>
    <w:rsid w:val="00927AB9"/>
    <w:rsid w:val="00927B37"/>
    <w:rsid w:val="00930116"/>
    <w:rsid w:val="00930625"/>
    <w:rsid w:val="009325DF"/>
    <w:rsid w:val="00937AC4"/>
    <w:rsid w:val="00941082"/>
    <w:rsid w:val="0094212C"/>
    <w:rsid w:val="0094370A"/>
    <w:rsid w:val="009440A0"/>
    <w:rsid w:val="00944853"/>
    <w:rsid w:val="0094609D"/>
    <w:rsid w:val="0094656B"/>
    <w:rsid w:val="00951040"/>
    <w:rsid w:val="0095378C"/>
    <w:rsid w:val="00953BF0"/>
    <w:rsid w:val="00954689"/>
    <w:rsid w:val="0095472A"/>
    <w:rsid w:val="00955541"/>
    <w:rsid w:val="00955BFB"/>
    <w:rsid w:val="009606B9"/>
    <w:rsid w:val="00960855"/>
    <w:rsid w:val="0096085A"/>
    <w:rsid w:val="009617C9"/>
    <w:rsid w:val="00961C93"/>
    <w:rsid w:val="00962B4E"/>
    <w:rsid w:val="00962F16"/>
    <w:rsid w:val="00965324"/>
    <w:rsid w:val="00965EF3"/>
    <w:rsid w:val="0097091E"/>
    <w:rsid w:val="00972514"/>
    <w:rsid w:val="009727A9"/>
    <w:rsid w:val="009728F9"/>
    <w:rsid w:val="00973F90"/>
    <w:rsid w:val="00974A76"/>
    <w:rsid w:val="009760D3"/>
    <w:rsid w:val="00977132"/>
    <w:rsid w:val="00981A4B"/>
    <w:rsid w:val="00982250"/>
    <w:rsid w:val="00982501"/>
    <w:rsid w:val="00983427"/>
    <w:rsid w:val="009836F3"/>
    <w:rsid w:val="00983D33"/>
    <w:rsid w:val="00984358"/>
    <w:rsid w:val="00985A65"/>
    <w:rsid w:val="009877D3"/>
    <w:rsid w:val="00987D22"/>
    <w:rsid w:val="00994E8F"/>
    <w:rsid w:val="009951DC"/>
    <w:rsid w:val="009953FD"/>
    <w:rsid w:val="009959BB"/>
    <w:rsid w:val="0099609D"/>
    <w:rsid w:val="009960DB"/>
    <w:rsid w:val="00997158"/>
    <w:rsid w:val="00997E8F"/>
    <w:rsid w:val="009A0827"/>
    <w:rsid w:val="009A0D5F"/>
    <w:rsid w:val="009A3A7C"/>
    <w:rsid w:val="009A5D33"/>
    <w:rsid w:val="009A65B2"/>
    <w:rsid w:val="009A7A39"/>
    <w:rsid w:val="009A7D84"/>
    <w:rsid w:val="009B0ED6"/>
    <w:rsid w:val="009B2323"/>
    <w:rsid w:val="009B2ADB"/>
    <w:rsid w:val="009B43B1"/>
    <w:rsid w:val="009B4CCE"/>
    <w:rsid w:val="009B603A"/>
    <w:rsid w:val="009C1113"/>
    <w:rsid w:val="009C2D0E"/>
    <w:rsid w:val="009C3DAC"/>
    <w:rsid w:val="009C42E0"/>
    <w:rsid w:val="009C5EA9"/>
    <w:rsid w:val="009C6D96"/>
    <w:rsid w:val="009C74E8"/>
    <w:rsid w:val="009C760A"/>
    <w:rsid w:val="009C7D21"/>
    <w:rsid w:val="009D3230"/>
    <w:rsid w:val="009D5362"/>
    <w:rsid w:val="009D5611"/>
    <w:rsid w:val="009E1415"/>
    <w:rsid w:val="009E2519"/>
    <w:rsid w:val="009E284A"/>
    <w:rsid w:val="009E35FD"/>
    <w:rsid w:val="009E6116"/>
    <w:rsid w:val="009E7E25"/>
    <w:rsid w:val="009F365A"/>
    <w:rsid w:val="009F634B"/>
    <w:rsid w:val="00A02555"/>
    <w:rsid w:val="00A02E43"/>
    <w:rsid w:val="00A05368"/>
    <w:rsid w:val="00A05519"/>
    <w:rsid w:val="00A0602B"/>
    <w:rsid w:val="00A06212"/>
    <w:rsid w:val="00A065F9"/>
    <w:rsid w:val="00A0680B"/>
    <w:rsid w:val="00A07011"/>
    <w:rsid w:val="00A07F34"/>
    <w:rsid w:val="00A07F8A"/>
    <w:rsid w:val="00A126D1"/>
    <w:rsid w:val="00A207D2"/>
    <w:rsid w:val="00A22154"/>
    <w:rsid w:val="00A22437"/>
    <w:rsid w:val="00A23C80"/>
    <w:rsid w:val="00A24058"/>
    <w:rsid w:val="00A25C38"/>
    <w:rsid w:val="00A27740"/>
    <w:rsid w:val="00A31EB4"/>
    <w:rsid w:val="00A34352"/>
    <w:rsid w:val="00A34F96"/>
    <w:rsid w:val="00A35824"/>
    <w:rsid w:val="00A36BBE"/>
    <w:rsid w:val="00A36DF7"/>
    <w:rsid w:val="00A37C20"/>
    <w:rsid w:val="00A40D9E"/>
    <w:rsid w:val="00A41717"/>
    <w:rsid w:val="00A41DF7"/>
    <w:rsid w:val="00A420B1"/>
    <w:rsid w:val="00A42ECA"/>
    <w:rsid w:val="00A4307A"/>
    <w:rsid w:val="00A463F8"/>
    <w:rsid w:val="00A46DEF"/>
    <w:rsid w:val="00A47EBB"/>
    <w:rsid w:val="00A5177C"/>
    <w:rsid w:val="00A51CDD"/>
    <w:rsid w:val="00A5592D"/>
    <w:rsid w:val="00A563F8"/>
    <w:rsid w:val="00A56BBA"/>
    <w:rsid w:val="00A63C5E"/>
    <w:rsid w:val="00A6585E"/>
    <w:rsid w:val="00A66E94"/>
    <w:rsid w:val="00A6730D"/>
    <w:rsid w:val="00A71625"/>
    <w:rsid w:val="00A71706"/>
    <w:rsid w:val="00A71B9B"/>
    <w:rsid w:val="00A751C7"/>
    <w:rsid w:val="00A76637"/>
    <w:rsid w:val="00A80008"/>
    <w:rsid w:val="00A832C0"/>
    <w:rsid w:val="00A84CE5"/>
    <w:rsid w:val="00A864FB"/>
    <w:rsid w:val="00A87844"/>
    <w:rsid w:val="00A90D4F"/>
    <w:rsid w:val="00A9227B"/>
    <w:rsid w:val="00A9241F"/>
    <w:rsid w:val="00A9600B"/>
    <w:rsid w:val="00A97A55"/>
    <w:rsid w:val="00AA038C"/>
    <w:rsid w:val="00AA3471"/>
    <w:rsid w:val="00AA75B6"/>
    <w:rsid w:val="00AA7A09"/>
    <w:rsid w:val="00AB35B6"/>
    <w:rsid w:val="00AB3B50"/>
    <w:rsid w:val="00AB3D62"/>
    <w:rsid w:val="00AC05B1"/>
    <w:rsid w:val="00AC2E7F"/>
    <w:rsid w:val="00AC450C"/>
    <w:rsid w:val="00AC548D"/>
    <w:rsid w:val="00AD340B"/>
    <w:rsid w:val="00AD356C"/>
    <w:rsid w:val="00AD3BAA"/>
    <w:rsid w:val="00AE2914"/>
    <w:rsid w:val="00AE2F9F"/>
    <w:rsid w:val="00AE3946"/>
    <w:rsid w:val="00AE6D15"/>
    <w:rsid w:val="00AE7023"/>
    <w:rsid w:val="00AE78AA"/>
    <w:rsid w:val="00AF0E49"/>
    <w:rsid w:val="00AF0EF3"/>
    <w:rsid w:val="00AF1979"/>
    <w:rsid w:val="00AF1F49"/>
    <w:rsid w:val="00AF2202"/>
    <w:rsid w:val="00AF2D81"/>
    <w:rsid w:val="00AF488F"/>
    <w:rsid w:val="00AF5FFD"/>
    <w:rsid w:val="00AF686D"/>
    <w:rsid w:val="00B00C01"/>
    <w:rsid w:val="00B014E0"/>
    <w:rsid w:val="00B02463"/>
    <w:rsid w:val="00B04182"/>
    <w:rsid w:val="00B05ECF"/>
    <w:rsid w:val="00B06F59"/>
    <w:rsid w:val="00B07AE3"/>
    <w:rsid w:val="00B07D54"/>
    <w:rsid w:val="00B11293"/>
    <w:rsid w:val="00B11430"/>
    <w:rsid w:val="00B12A5D"/>
    <w:rsid w:val="00B13317"/>
    <w:rsid w:val="00B15C92"/>
    <w:rsid w:val="00B1633D"/>
    <w:rsid w:val="00B242F4"/>
    <w:rsid w:val="00B2477A"/>
    <w:rsid w:val="00B24D1C"/>
    <w:rsid w:val="00B259E3"/>
    <w:rsid w:val="00B27D2B"/>
    <w:rsid w:val="00B30072"/>
    <w:rsid w:val="00B30481"/>
    <w:rsid w:val="00B30791"/>
    <w:rsid w:val="00B3312F"/>
    <w:rsid w:val="00B34A0E"/>
    <w:rsid w:val="00B3517C"/>
    <w:rsid w:val="00B353EB"/>
    <w:rsid w:val="00B35B57"/>
    <w:rsid w:val="00B4016F"/>
    <w:rsid w:val="00B407AC"/>
    <w:rsid w:val="00B43374"/>
    <w:rsid w:val="00B439C4"/>
    <w:rsid w:val="00B43ACB"/>
    <w:rsid w:val="00B442A6"/>
    <w:rsid w:val="00B4535E"/>
    <w:rsid w:val="00B45DE8"/>
    <w:rsid w:val="00B52162"/>
    <w:rsid w:val="00B52A8C"/>
    <w:rsid w:val="00B53AC9"/>
    <w:rsid w:val="00B54707"/>
    <w:rsid w:val="00B54AA6"/>
    <w:rsid w:val="00B56155"/>
    <w:rsid w:val="00B62F11"/>
    <w:rsid w:val="00B63042"/>
    <w:rsid w:val="00B636A8"/>
    <w:rsid w:val="00B637C7"/>
    <w:rsid w:val="00B63842"/>
    <w:rsid w:val="00B64EFD"/>
    <w:rsid w:val="00B665C6"/>
    <w:rsid w:val="00B72AD8"/>
    <w:rsid w:val="00B74441"/>
    <w:rsid w:val="00B758A5"/>
    <w:rsid w:val="00B805AF"/>
    <w:rsid w:val="00B806E8"/>
    <w:rsid w:val="00B82BD5"/>
    <w:rsid w:val="00B854D7"/>
    <w:rsid w:val="00B85527"/>
    <w:rsid w:val="00B85EE2"/>
    <w:rsid w:val="00B869BF"/>
    <w:rsid w:val="00B869EC"/>
    <w:rsid w:val="00B92383"/>
    <w:rsid w:val="00B9397A"/>
    <w:rsid w:val="00B95663"/>
    <w:rsid w:val="00B9633D"/>
    <w:rsid w:val="00B967D5"/>
    <w:rsid w:val="00BA0829"/>
    <w:rsid w:val="00BA148C"/>
    <w:rsid w:val="00BA2EBE"/>
    <w:rsid w:val="00BA5F58"/>
    <w:rsid w:val="00BB0F28"/>
    <w:rsid w:val="00BB3B0D"/>
    <w:rsid w:val="00BB458A"/>
    <w:rsid w:val="00BB4FF8"/>
    <w:rsid w:val="00BB5854"/>
    <w:rsid w:val="00BB693F"/>
    <w:rsid w:val="00BB6C11"/>
    <w:rsid w:val="00BB79D6"/>
    <w:rsid w:val="00BC3ED0"/>
    <w:rsid w:val="00BC5953"/>
    <w:rsid w:val="00BD00D3"/>
    <w:rsid w:val="00BD1659"/>
    <w:rsid w:val="00BD3AA9"/>
    <w:rsid w:val="00BD4A18"/>
    <w:rsid w:val="00BD6DB2"/>
    <w:rsid w:val="00BD73A1"/>
    <w:rsid w:val="00BE11CF"/>
    <w:rsid w:val="00BE21AB"/>
    <w:rsid w:val="00BE55CB"/>
    <w:rsid w:val="00BE6943"/>
    <w:rsid w:val="00BE7067"/>
    <w:rsid w:val="00BF3BB2"/>
    <w:rsid w:val="00BF4D89"/>
    <w:rsid w:val="00BF5F51"/>
    <w:rsid w:val="00BF617A"/>
    <w:rsid w:val="00BF6201"/>
    <w:rsid w:val="00BF70B5"/>
    <w:rsid w:val="00C01911"/>
    <w:rsid w:val="00C03600"/>
    <w:rsid w:val="00C036B3"/>
    <w:rsid w:val="00C0379D"/>
    <w:rsid w:val="00C03931"/>
    <w:rsid w:val="00C05FE3"/>
    <w:rsid w:val="00C11DA9"/>
    <w:rsid w:val="00C12077"/>
    <w:rsid w:val="00C15702"/>
    <w:rsid w:val="00C15B4D"/>
    <w:rsid w:val="00C2136D"/>
    <w:rsid w:val="00C214B6"/>
    <w:rsid w:val="00C214EE"/>
    <w:rsid w:val="00C2314B"/>
    <w:rsid w:val="00C244A0"/>
    <w:rsid w:val="00C24971"/>
    <w:rsid w:val="00C25355"/>
    <w:rsid w:val="00C256EB"/>
    <w:rsid w:val="00C26BE5"/>
    <w:rsid w:val="00C26E4D"/>
    <w:rsid w:val="00C27909"/>
    <w:rsid w:val="00C27B03"/>
    <w:rsid w:val="00C314E1"/>
    <w:rsid w:val="00C334F8"/>
    <w:rsid w:val="00C34397"/>
    <w:rsid w:val="00C40503"/>
    <w:rsid w:val="00C4095D"/>
    <w:rsid w:val="00C41CE6"/>
    <w:rsid w:val="00C4220D"/>
    <w:rsid w:val="00C464A5"/>
    <w:rsid w:val="00C56595"/>
    <w:rsid w:val="00C57A9C"/>
    <w:rsid w:val="00C601D2"/>
    <w:rsid w:val="00C636E4"/>
    <w:rsid w:val="00C65554"/>
    <w:rsid w:val="00C65BCC"/>
    <w:rsid w:val="00C66970"/>
    <w:rsid w:val="00C7039E"/>
    <w:rsid w:val="00C712E4"/>
    <w:rsid w:val="00C71F4D"/>
    <w:rsid w:val="00C7447A"/>
    <w:rsid w:val="00C77083"/>
    <w:rsid w:val="00C830A5"/>
    <w:rsid w:val="00C8322B"/>
    <w:rsid w:val="00C8691C"/>
    <w:rsid w:val="00C86CB4"/>
    <w:rsid w:val="00C872B6"/>
    <w:rsid w:val="00C96295"/>
    <w:rsid w:val="00C96364"/>
    <w:rsid w:val="00C964AA"/>
    <w:rsid w:val="00CA03DF"/>
    <w:rsid w:val="00CA168A"/>
    <w:rsid w:val="00CA2097"/>
    <w:rsid w:val="00CA357E"/>
    <w:rsid w:val="00CA44F0"/>
    <w:rsid w:val="00CA44F9"/>
    <w:rsid w:val="00CA4A69"/>
    <w:rsid w:val="00CA52E1"/>
    <w:rsid w:val="00CB13DD"/>
    <w:rsid w:val="00CB2CFA"/>
    <w:rsid w:val="00CB405A"/>
    <w:rsid w:val="00CB6701"/>
    <w:rsid w:val="00CB722E"/>
    <w:rsid w:val="00CB7A53"/>
    <w:rsid w:val="00CC1F0D"/>
    <w:rsid w:val="00CC3E0C"/>
    <w:rsid w:val="00CC557C"/>
    <w:rsid w:val="00CC58D3"/>
    <w:rsid w:val="00CC784D"/>
    <w:rsid w:val="00CD241A"/>
    <w:rsid w:val="00CD5D33"/>
    <w:rsid w:val="00CD7DB1"/>
    <w:rsid w:val="00CE00A6"/>
    <w:rsid w:val="00CE7E1B"/>
    <w:rsid w:val="00CF0064"/>
    <w:rsid w:val="00CF1E15"/>
    <w:rsid w:val="00CF250F"/>
    <w:rsid w:val="00CF3EBA"/>
    <w:rsid w:val="00D00A8D"/>
    <w:rsid w:val="00D03268"/>
    <w:rsid w:val="00D0337B"/>
    <w:rsid w:val="00D07777"/>
    <w:rsid w:val="00D079B2"/>
    <w:rsid w:val="00D114E9"/>
    <w:rsid w:val="00D119AF"/>
    <w:rsid w:val="00D177F5"/>
    <w:rsid w:val="00D17CD8"/>
    <w:rsid w:val="00D22942"/>
    <w:rsid w:val="00D2352F"/>
    <w:rsid w:val="00D240E4"/>
    <w:rsid w:val="00D2527C"/>
    <w:rsid w:val="00D262D1"/>
    <w:rsid w:val="00D2633E"/>
    <w:rsid w:val="00D313B3"/>
    <w:rsid w:val="00D31954"/>
    <w:rsid w:val="00D335AF"/>
    <w:rsid w:val="00D35B8E"/>
    <w:rsid w:val="00D37CF2"/>
    <w:rsid w:val="00D40F07"/>
    <w:rsid w:val="00D40FAA"/>
    <w:rsid w:val="00D4266B"/>
    <w:rsid w:val="00D428CD"/>
    <w:rsid w:val="00D429C6"/>
    <w:rsid w:val="00D42DF7"/>
    <w:rsid w:val="00D47748"/>
    <w:rsid w:val="00D5178F"/>
    <w:rsid w:val="00D518DF"/>
    <w:rsid w:val="00D54519"/>
    <w:rsid w:val="00D54CC3"/>
    <w:rsid w:val="00D577D4"/>
    <w:rsid w:val="00D6041A"/>
    <w:rsid w:val="00D61258"/>
    <w:rsid w:val="00D633EB"/>
    <w:rsid w:val="00D66897"/>
    <w:rsid w:val="00D67726"/>
    <w:rsid w:val="00D736AC"/>
    <w:rsid w:val="00D747AA"/>
    <w:rsid w:val="00D75A7E"/>
    <w:rsid w:val="00D8229B"/>
    <w:rsid w:val="00D82A57"/>
    <w:rsid w:val="00D82FF7"/>
    <w:rsid w:val="00D84271"/>
    <w:rsid w:val="00D847FE"/>
    <w:rsid w:val="00D84A55"/>
    <w:rsid w:val="00D850AB"/>
    <w:rsid w:val="00D86B9C"/>
    <w:rsid w:val="00D878E4"/>
    <w:rsid w:val="00D900CD"/>
    <w:rsid w:val="00D9088E"/>
    <w:rsid w:val="00D90A39"/>
    <w:rsid w:val="00D90B89"/>
    <w:rsid w:val="00D91194"/>
    <w:rsid w:val="00D9123D"/>
    <w:rsid w:val="00D91905"/>
    <w:rsid w:val="00D92F1F"/>
    <w:rsid w:val="00D964EA"/>
    <w:rsid w:val="00D966D0"/>
    <w:rsid w:val="00DA0C59"/>
    <w:rsid w:val="00DA1BD6"/>
    <w:rsid w:val="00DA3991"/>
    <w:rsid w:val="00DA4791"/>
    <w:rsid w:val="00DA567A"/>
    <w:rsid w:val="00DA72A1"/>
    <w:rsid w:val="00DA7F95"/>
    <w:rsid w:val="00DB01F1"/>
    <w:rsid w:val="00DB3222"/>
    <w:rsid w:val="00DB4F02"/>
    <w:rsid w:val="00DB6BE3"/>
    <w:rsid w:val="00DB7E6C"/>
    <w:rsid w:val="00DC4BAB"/>
    <w:rsid w:val="00DC4F68"/>
    <w:rsid w:val="00DC64B0"/>
    <w:rsid w:val="00DC69BF"/>
    <w:rsid w:val="00DC6B1E"/>
    <w:rsid w:val="00DC7AC2"/>
    <w:rsid w:val="00DD252A"/>
    <w:rsid w:val="00DD3C00"/>
    <w:rsid w:val="00DD5949"/>
    <w:rsid w:val="00DD5A29"/>
    <w:rsid w:val="00DD5D9D"/>
    <w:rsid w:val="00DE2E5C"/>
    <w:rsid w:val="00DE35CB"/>
    <w:rsid w:val="00DE4B98"/>
    <w:rsid w:val="00DE5BA9"/>
    <w:rsid w:val="00DE64C7"/>
    <w:rsid w:val="00DF0C33"/>
    <w:rsid w:val="00DF0EF0"/>
    <w:rsid w:val="00DF21E9"/>
    <w:rsid w:val="00DF22C7"/>
    <w:rsid w:val="00DF245E"/>
    <w:rsid w:val="00DF5588"/>
    <w:rsid w:val="00DF5A57"/>
    <w:rsid w:val="00DF5CC9"/>
    <w:rsid w:val="00E005D3"/>
    <w:rsid w:val="00E00F14"/>
    <w:rsid w:val="00E0154F"/>
    <w:rsid w:val="00E01CB8"/>
    <w:rsid w:val="00E03476"/>
    <w:rsid w:val="00E05EEE"/>
    <w:rsid w:val="00E06386"/>
    <w:rsid w:val="00E075C5"/>
    <w:rsid w:val="00E1051A"/>
    <w:rsid w:val="00E111F3"/>
    <w:rsid w:val="00E11668"/>
    <w:rsid w:val="00E118E7"/>
    <w:rsid w:val="00E122B7"/>
    <w:rsid w:val="00E12780"/>
    <w:rsid w:val="00E13711"/>
    <w:rsid w:val="00E16518"/>
    <w:rsid w:val="00E1710E"/>
    <w:rsid w:val="00E21073"/>
    <w:rsid w:val="00E21B55"/>
    <w:rsid w:val="00E221D3"/>
    <w:rsid w:val="00E23CA0"/>
    <w:rsid w:val="00E24EB4"/>
    <w:rsid w:val="00E2530D"/>
    <w:rsid w:val="00E2575D"/>
    <w:rsid w:val="00E26580"/>
    <w:rsid w:val="00E30089"/>
    <w:rsid w:val="00E30470"/>
    <w:rsid w:val="00E30635"/>
    <w:rsid w:val="00E320ED"/>
    <w:rsid w:val="00E32E3B"/>
    <w:rsid w:val="00E33AFB"/>
    <w:rsid w:val="00E34218"/>
    <w:rsid w:val="00E37FEA"/>
    <w:rsid w:val="00E40F59"/>
    <w:rsid w:val="00E42449"/>
    <w:rsid w:val="00E4555B"/>
    <w:rsid w:val="00E46282"/>
    <w:rsid w:val="00E473CF"/>
    <w:rsid w:val="00E50012"/>
    <w:rsid w:val="00E51ED9"/>
    <w:rsid w:val="00E51FD7"/>
    <w:rsid w:val="00E5216E"/>
    <w:rsid w:val="00E52AD5"/>
    <w:rsid w:val="00E52BD3"/>
    <w:rsid w:val="00E5529C"/>
    <w:rsid w:val="00E60352"/>
    <w:rsid w:val="00E63413"/>
    <w:rsid w:val="00E65535"/>
    <w:rsid w:val="00E657C6"/>
    <w:rsid w:val="00E73135"/>
    <w:rsid w:val="00E75D40"/>
    <w:rsid w:val="00E769D5"/>
    <w:rsid w:val="00E81965"/>
    <w:rsid w:val="00E81A88"/>
    <w:rsid w:val="00E82344"/>
    <w:rsid w:val="00E84C82"/>
    <w:rsid w:val="00E84D64"/>
    <w:rsid w:val="00E87408"/>
    <w:rsid w:val="00E914C4"/>
    <w:rsid w:val="00E926F1"/>
    <w:rsid w:val="00E934F5"/>
    <w:rsid w:val="00E96961"/>
    <w:rsid w:val="00EA0585"/>
    <w:rsid w:val="00EA70D2"/>
    <w:rsid w:val="00EA72EC"/>
    <w:rsid w:val="00EB0E72"/>
    <w:rsid w:val="00EB11CB"/>
    <w:rsid w:val="00EB1327"/>
    <w:rsid w:val="00EB1C71"/>
    <w:rsid w:val="00EB275A"/>
    <w:rsid w:val="00EB57CA"/>
    <w:rsid w:val="00EB5880"/>
    <w:rsid w:val="00EB786A"/>
    <w:rsid w:val="00EC1578"/>
    <w:rsid w:val="00EC1BFC"/>
    <w:rsid w:val="00EC1C72"/>
    <w:rsid w:val="00EC2CE4"/>
    <w:rsid w:val="00EC3356"/>
    <w:rsid w:val="00EC36B9"/>
    <w:rsid w:val="00EC3CC9"/>
    <w:rsid w:val="00EC5D85"/>
    <w:rsid w:val="00EC680A"/>
    <w:rsid w:val="00ED505B"/>
    <w:rsid w:val="00ED511C"/>
    <w:rsid w:val="00ED7229"/>
    <w:rsid w:val="00ED7599"/>
    <w:rsid w:val="00EE25CB"/>
    <w:rsid w:val="00EE2BED"/>
    <w:rsid w:val="00EE30B1"/>
    <w:rsid w:val="00EE374B"/>
    <w:rsid w:val="00EE4A87"/>
    <w:rsid w:val="00EE519C"/>
    <w:rsid w:val="00EF21E4"/>
    <w:rsid w:val="00EF2869"/>
    <w:rsid w:val="00EF2DEA"/>
    <w:rsid w:val="00EF4D26"/>
    <w:rsid w:val="00EF536C"/>
    <w:rsid w:val="00F02674"/>
    <w:rsid w:val="00F02F7B"/>
    <w:rsid w:val="00F03681"/>
    <w:rsid w:val="00F0515B"/>
    <w:rsid w:val="00F05D60"/>
    <w:rsid w:val="00F06330"/>
    <w:rsid w:val="00F07224"/>
    <w:rsid w:val="00F07FD3"/>
    <w:rsid w:val="00F11BB5"/>
    <w:rsid w:val="00F1296C"/>
    <w:rsid w:val="00F13042"/>
    <w:rsid w:val="00F1417B"/>
    <w:rsid w:val="00F15574"/>
    <w:rsid w:val="00F1712D"/>
    <w:rsid w:val="00F17687"/>
    <w:rsid w:val="00F17A17"/>
    <w:rsid w:val="00F208A0"/>
    <w:rsid w:val="00F2115E"/>
    <w:rsid w:val="00F27B3D"/>
    <w:rsid w:val="00F27B48"/>
    <w:rsid w:val="00F30ABD"/>
    <w:rsid w:val="00F31298"/>
    <w:rsid w:val="00F34B99"/>
    <w:rsid w:val="00F36FF5"/>
    <w:rsid w:val="00F40B02"/>
    <w:rsid w:val="00F41E81"/>
    <w:rsid w:val="00F44535"/>
    <w:rsid w:val="00F4657B"/>
    <w:rsid w:val="00F47857"/>
    <w:rsid w:val="00F47FDE"/>
    <w:rsid w:val="00F507B5"/>
    <w:rsid w:val="00F51720"/>
    <w:rsid w:val="00F51CF2"/>
    <w:rsid w:val="00F51D88"/>
    <w:rsid w:val="00F52336"/>
    <w:rsid w:val="00F52DAB"/>
    <w:rsid w:val="00F543F0"/>
    <w:rsid w:val="00F54B2B"/>
    <w:rsid w:val="00F55389"/>
    <w:rsid w:val="00F55E3E"/>
    <w:rsid w:val="00F57601"/>
    <w:rsid w:val="00F610E7"/>
    <w:rsid w:val="00F64419"/>
    <w:rsid w:val="00F64F2C"/>
    <w:rsid w:val="00F679DB"/>
    <w:rsid w:val="00F730DB"/>
    <w:rsid w:val="00F73F99"/>
    <w:rsid w:val="00F74A4F"/>
    <w:rsid w:val="00F74D85"/>
    <w:rsid w:val="00F75F80"/>
    <w:rsid w:val="00F81D29"/>
    <w:rsid w:val="00F8520A"/>
    <w:rsid w:val="00F90BE5"/>
    <w:rsid w:val="00F91C4D"/>
    <w:rsid w:val="00F92FD9"/>
    <w:rsid w:val="00F966FA"/>
    <w:rsid w:val="00F9687F"/>
    <w:rsid w:val="00F979CF"/>
    <w:rsid w:val="00FA0CF4"/>
    <w:rsid w:val="00FA37B1"/>
    <w:rsid w:val="00FA3E0B"/>
    <w:rsid w:val="00FA5D95"/>
    <w:rsid w:val="00FA5EF7"/>
    <w:rsid w:val="00FA6684"/>
    <w:rsid w:val="00FA7031"/>
    <w:rsid w:val="00FA731E"/>
    <w:rsid w:val="00FA76A5"/>
    <w:rsid w:val="00FA7BD0"/>
    <w:rsid w:val="00FB034A"/>
    <w:rsid w:val="00FB17FB"/>
    <w:rsid w:val="00FB1DCF"/>
    <w:rsid w:val="00FB2B38"/>
    <w:rsid w:val="00FB61CE"/>
    <w:rsid w:val="00FB7A07"/>
    <w:rsid w:val="00FC04CC"/>
    <w:rsid w:val="00FC2066"/>
    <w:rsid w:val="00FC23FF"/>
    <w:rsid w:val="00FC3195"/>
    <w:rsid w:val="00FC5792"/>
    <w:rsid w:val="00FC62C5"/>
    <w:rsid w:val="00FC6358"/>
    <w:rsid w:val="00FD1381"/>
    <w:rsid w:val="00FD2AB3"/>
    <w:rsid w:val="00FD320D"/>
    <w:rsid w:val="00FE124A"/>
    <w:rsid w:val="00FE1B98"/>
    <w:rsid w:val="00FE23DE"/>
    <w:rsid w:val="00FF1801"/>
    <w:rsid w:val="00FF231D"/>
    <w:rsid w:val="00FF6531"/>
    <w:rsid w:val="00FF6842"/>
    <w:rsid w:val="012E5AA0"/>
    <w:rsid w:val="01663A3F"/>
    <w:rsid w:val="017D31AE"/>
    <w:rsid w:val="018502B5"/>
    <w:rsid w:val="01EE5363"/>
    <w:rsid w:val="01FF0B04"/>
    <w:rsid w:val="02182ED7"/>
    <w:rsid w:val="023B226F"/>
    <w:rsid w:val="02427F54"/>
    <w:rsid w:val="02802AAF"/>
    <w:rsid w:val="02AB2640"/>
    <w:rsid w:val="02B867F3"/>
    <w:rsid w:val="038E774A"/>
    <w:rsid w:val="039667A9"/>
    <w:rsid w:val="03B05451"/>
    <w:rsid w:val="03EE2141"/>
    <w:rsid w:val="040F71B7"/>
    <w:rsid w:val="04183618"/>
    <w:rsid w:val="0422003D"/>
    <w:rsid w:val="042F1412"/>
    <w:rsid w:val="043A10B7"/>
    <w:rsid w:val="044973F1"/>
    <w:rsid w:val="0458580D"/>
    <w:rsid w:val="046A1BF4"/>
    <w:rsid w:val="04965CA6"/>
    <w:rsid w:val="04B86B18"/>
    <w:rsid w:val="04C64E6C"/>
    <w:rsid w:val="04DB72AF"/>
    <w:rsid w:val="04EA6DAD"/>
    <w:rsid w:val="050445C4"/>
    <w:rsid w:val="052623D4"/>
    <w:rsid w:val="053242B0"/>
    <w:rsid w:val="054A4EAC"/>
    <w:rsid w:val="055E50A5"/>
    <w:rsid w:val="05610EB7"/>
    <w:rsid w:val="0563594B"/>
    <w:rsid w:val="05B52156"/>
    <w:rsid w:val="05C52E47"/>
    <w:rsid w:val="06041B18"/>
    <w:rsid w:val="06934488"/>
    <w:rsid w:val="06EE2458"/>
    <w:rsid w:val="073A569E"/>
    <w:rsid w:val="078401ED"/>
    <w:rsid w:val="07CF304D"/>
    <w:rsid w:val="07D22199"/>
    <w:rsid w:val="08017F69"/>
    <w:rsid w:val="08207405"/>
    <w:rsid w:val="0858402D"/>
    <w:rsid w:val="085921CF"/>
    <w:rsid w:val="086961E0"/>
    <w:rsid w:val="08820D1E"/>
    <w:rsid w:val="08F57ACE"/>
    <w:rsid w:val="092B6B72"/>
    <w:rsid w:val="093920B1"/>
    <w:rsid w:val="097B2B43"/>
    <w:rsid w:val="099E2A5B"/>
    <w:rsid w:val="09BB0D18"/>
    <w:rsid w:val="09E27E39"/>
    <w:rsid w:val="09E765A8"/>
    <w:rsid w:val="0A026946"/>
    <w:rsid w:val="0A0B0087"/>
    <w:rsid w:val="0A1E436E"/>
    <w:rsid w:val="0A6C051A"/>
    <w:rsid w:val="0A8827D4"/>
    <w:rsid w:val="0A9D041D"/>
    <w:rsid w:val="0AD34700"/>
    <w:rsid w:val="0AF838A6"/>
    <w:rsid w:val="0B120344"/>
    <w:rsid w:val="0B185E64"/>
    <w:rsid w:val="0B48482D"/>
    <w:rsid w:val="0B6574A7"/>
    <w:rsid w:val="0BA17A99"/>
    <w:rsid w:val="0BAD7732"/>
    <w:rsid w:val="0BB579E9"/>
    <w:rsid w:val="0BED23E2"/>
    <w:rsid w:val="0C095E2F"/>
    <w:rsid w:val="0C1276DB"/>
    <w:rsid w:val="0C1C41DE"/>
    <w:rsid w:val="0CA57A5D"/>
    <w:rsid w:val="0CDB347F"/>
    <w:rsid w:val="0CE34652"/>
    <w:rsid w:val="0D6D11B4"/>
    <w:rsid w:val="0D787BD8"/>
    <w:rsid w:val="0DAD574B"/>
    <w:rsid w:val="0DAF3A0A"/>
    <w:rsid w:val="0E083374"/>
    <w:rsid w:val="0E323E77"/>
    <w:rsid w:val="0E602F31"/>
    <w:rsid w:val="0EA271E9"/>
    <w:rsid w:val="0EA7186A"/>
    <w:rsid w:val="0EC84688"/>
    <w:rsid w:val="0ECD42DA"/>
    <w:rsid w:val="0ED818CE"/>
    <w:rsid w:val="0EE44D17"/>
    <w:rsid w:val="0EEF3211"/>
    <w:rsid w:val="0F0D5446"/>
    <w:rsid w:val="0F0E3698"/>
    <w:rsid w:val="0F163CF9"/>
    <w:rsid w:val="0F3222D9"/>
    <w:rsid w:val="0F360E40"/>
    <w:rsid w:val="0F9D78AB"/>
    <w:rsid w:val="0FA53F4F"/>
    <w:rsid w:val="0FA7589A"/>
    <w:rsid w:val="0FDE03EC"/>
    <w:rsid w:val="0FE204D6"/>
    <w:rsid w:val="10673A3A"/>
    <w:rsid w:val="108F0808"/>
    <w:rsid w:val="10B11415"/>
    <w:rsid w:val="10BB185A"/>
    <w:rsid w:val="10D24A10"/>
    <w:rsid w:val="10DE52EC"/>
    <w:rsid w:val="11495D37"/>
    <w:rsid w:val="115C307F"/>
    <w:rsid w:val="116F23E8"/>
    <w:rsid w:val="11A8480E"/>
    <w:rsid w:val="11CC4BDE"/>
    <w:rsid w:val="1200053E"/>
    <w:rsid w:val="125E081E"/>
    <w:rsid w:val="126637EB"/>
    <w:rsid w:val="126A0F18"/>
    <w:rsid w:val="1279351E"/>
    <w:rsid w:val="127C6B6A"/>
    <w:rsid w:val="1281334B"/>
    <w:rsid w:val="1299596E"/>
    <w:rsid w:val="12B02ABE"/>
    <w:rsid w:val="12B10F0A"/>
    <w:rsid w:val="12C50511"/>
    <w:rsid w:val="12D122D2"/>
    <w:rsid w:val="12E3255C"/>
    <w:rsid w:val="12F62DC8"/>
    <w:rsid w:val="12F952F5"/>
    <w:rsid w:val="130F5C30"/>
    <w:rsid w:val="13294642"/>
    <w:rsid w:val="135F0966"/>
    <w:rsid w:val="1361390A"/>
    <w:rsid w:val="13713CFE"/>
    <w:rsid w:val="139B5716"/>
    <w:rsid w:val="13AC555C"/>
    <w:rsid w:val="13B14F39"/>
    <w:rsid w:val="13B50586"/>
    <w:rsid w:val="13BE3FAC"/>
    <w:rsid w:val="13CB3006"/>
    <w:rsid w:val="1407069A"/>
    <w:rsid w:val="145D334D"/>
    <w:rsid w:val="14605346"/>
    <w:rsid w:val="147E306D"/>
    <w:rsid w:val="14D135A5"/>
    <w:rsid w:val="14EE5DBD"/>
    <w:rsid w:val="150B2427"/>
    <w:rsid w:val="151459F6"/>
    <w:rsid w:val="1518192C"/>
    <w:rsid w:val="152E05CD"/>
    <w:rsid w:val="154020D1"/>
    <w:rsid w:val="15431BC1"/>
    <w:rsid w:val="15434B8D"/>
    <w:rsid w:val="15472785"/>
    <w:rsid w:val="15577FA1"/>
    <w:rsid w:val="155A6404"/>
    <w:rsid w:val="156F0C08"/>
    <w:rsid w:val="15844A8B"/>
    <w:rsid w:val="159B3E4F"/>
    <w:rsid w:val="15BD13A0"/>
    <w:rsid w:val="1651030E"/>
    <w:rsid w:val="165C73DE"/>
    <w:rsid w:val="16670CBF"/>
    <w:rsid w:val="166E178F"/>
    <w:rsid w:val="16940ABF"/>
    <w:rsid w:val="16E06527"/>
    <w:rsid w:val="172B1388"/>
    <w:rsid w:val="17370FAC"/>
    <w:rsid w:val="17F17FFA"/>
    <w:rsid w:val="18343190"/>
    <w:rsid w:val="183B1275"/>
    <w:rsid w:val="18442018"/>
    <w:rsid w:val="184A2E23"/>
    <w:rsid w:val="184C3A24"/>
    <w:rsid w:val="184D216A"/>
    <w:rsid w:val="18561C5C"/>
    <w:rsid w:val="18600920"/>
    <w:rsid w:val="18C75838"/>
    <w:rsid w:val="18DF7E53"/>
    <w:rsid w:val="19493421"/>
    <w:rsid w:val="1983642B"/>
    <w:rsid w:val="19C85519"/>
    <w:rsid w:val="1A07140F"/>
    <w:rsid w:val="1A210F76"/>
    <w:rsid w:val="1A2C356C"/>
    <w:rsid w:val="1A360C10"/>
    <w:rsid w:val="1A3758E0"/>
    <w:rsid w:val="1A604FC3"/>
    <w:rsid w:val="1A6A3B28"/>
    <w:rsid w:val="1AA24997"/>
    <w:rsid w:val="1AB45CF6"/>
    <w:rsid w:val="1AF54CF0"/>
    <w:rsid w:val="1B1E6F05"/>
    <w:rsid w:val="1B375D24"/>
    <w:rsid w:val="1B395F40"/>
    <w:rsid w:val="1B5A4FD0"/>
    <w:rsid w:val="1B63708B"/>
    <w:rsid w:val="1B746F78"/>
    <w:rsid w:val="1CA762B2"/>
    <w:rsid w:val="1CCE090A"/>
    <w:rsid w:val="1D3A4559"/>
    <w:rsid w:val="1D5A0D1B"/>
    <w:rsid w:val="1D893E72"/>
    <w:rsid w:val="1D984141"/>
    <w:rsid w:val="1DEE2256"/>
    <w:rsid w:val="1E0C03F5"/>
    <w:rsid w:val="1E2B3000"/>
    <w:rsid w:val="1E8A6AB3"/>
    <w:rsid w:val="1EF04B68"/>
    <w:rsid w:val="1F1F544D"/>
    <w:rsid w:val="1F273AB1"/>
    <w:rsid w:val="1F39063E"/>
    <w:rsid w:val="1F3E2682"/>
    <w:rsid w:val="1F645556"/>
    <w:rsid w:val="1F665557"/>
    <w:rsid w:val="1F7E629B"/>
    <w:rsid w:val="1F877DA2"/>
    <w:rsid w:val="201B6DF7"/>
    <w:rsid w:val="2037616B"/>
    <w:rsid w:val="20380601"/>
    <w:rsid w:val="203D202F"/>
    <w:rsid w:val="20C32FFC"/>
    <w:rsid w:val="20FB5A46"/>
    <w:rsid w:val="21350F58"/>
    <w:rsid w:val="216566D4"/>
    <w:rsid w:val="224F3728"/>
    <w:rsid w:val="226F0340"/>
    <w:rsid w:val="22E604C0"/>
    <w:rsid w:val="23111551"/>
    <w:rsid w:val="23122038"/>
    <w:rsid w:val="236E5D67"/>
    <w:rsid w:val="23A758EB"/>
    <w:rsid w:val="23A83C63"/>
    <w:rsid w:val="23BD6FE3"/>
    <w:rsid w:val="23DA5234"/>
    <w:rsid w:val="23E21E79"/>
    <w:rsid w:val="23E97DD8"/>
    <w:rsid w:val="242B219E"/>
    <w:rsid w:val="24371DF6"/>
    <w:rsid w:val="24777A95"/>
    <w:rsid w:val="248C4E32"/>
    <w:rsid w:val="24D6382E"/>
    <w:rsid w:val="250B51FF"/>
    <w:rsid w:val="250C0222"/>
    <w:rsid w:val="2513501F"/>
    <w:rsid w:val="25317C88"/>
    <w:rsid w:val="255D6FE2"/>
    <w:rsid w:val="255E3802"/>
    <w:rsid w:val="256A6F50"/>
    <w:rsid w:val="25710B29"/>
    <w:rsid w:val="25777D91"/>
    <w:rsid w:val="257E25EC"/>
    <w:rsid w:val="2588079D"/>
    <w:rsid w:val="259A11A7"/>
    <w:rsid w:val="259C1C23"/>
    <w:rsid w:val="25DD7291"/>
    <w:rsid w:val="25E5086C"/>
    <w:rsid w:val="25F83D7F"/>
    <w:rsid w:val="260077F7"/>
    <w:rsid w:val="26056618"/>
    <w:rsid w:val="26527EB6"/>
    <w:rsid w:val="265F249C"/>
    <w:rsid w:val="268B1B93"/>
    <w:rsid w:val="26C13AF4"/>
    <w:rsid w:val="26F251F5"/>
    <w:rsid w:val="270A1F1E"/>
    <w:rsid w:val="271F05EE"/>
    <w:rsid w:val="27457A1B"/>
    <w:rsid w:val="27587B7C"/>
    <w:rsid w:val="276620E5"/>
    <w:rsid w:val="276E53D3"/>
    <w:rsid w:val="27731758"/>
    <w:rsid w:val="277E3AD3"/>
    <w:rsid w:val="279D7F1B"/>
    <w:rsid w:val="27DA61DD"/>
    <w:rsid w:val="27EC7005"/>
    <w:rsid w:val="281825F3"/>
    <w:rsid w:val="28241CA2"/>
    <w:rsid w:val="282B415D"/>
    <w:rsid w:val="284B72B3"/>
    <w:rsid w:val="2874680A"/>
    <w:rsid w:val="28B61D21"/>
    <w:rsid w:val="28BE7A85"/>
    <w:rsid w:val="28CC4DDB"/>
    <w:rsid w:val="28D472A8"/>
    <w:rsid w:val="29031CAE"/>
    <w:rsid w:val="29342AE5"/>
    <w:rsid w:val="2940049A"/>
    <w:rsid w:val="298C717B"/>
    <w:rsid w:val="299B4FB9"/>
    <w:rsid w:val="29A924E3"/>
    <w:rsid w:val="29E67BAB"/>
    <w:rsid w:val="2A27165A"/>
    <w:rsid w:val="2A3D164D"/>
    <w:rsid w:val="2AAD7DB1"/>
    <w:rsid w:val="2ABE3D6C"/>
    <w:rsid w:val="2AC5089C"/>
    <w:rsid w:val="2AED1DB2"/>
    <w:rsid w:val="2B0E122A"/>
    <w:rsid w:val="2B2251B9"/>
    <w:rsid w:val="2B762899"/>
    <w:rsid w:val="2BD045A3"/>
    <w:rsid w:val="2BDF3F0E"/>
    <w:rsid w:val="2C161CD4"/>
    <w:rsid w:val="2CA043DA"/>
    <w:rsid w:val="2CC230C2"/>
    <w:rsid w:val="2CCF0565"/>
    <w:rsid w:val="2D015C03"/>
    <w:rsid w:val="2D0461B9"/>
    <w:rsid w:val="2D1F23C5"/>
    <w:rsid w:val="2D483CC9"/>
    <w:rsid w:val="2D5353A1"/>
    <w:rsid w:val="2D9C5EBB"/>
    <w:rsid w:val="2DB41456"/>
    <w:rsid w:val="2DFF6B75"/>
    <w:rsid w:val="2E00644A"/>
    <w:rsid w:val="2E017268"/>
    <w:rsid w:val="2E0F337C"/>
    <w:rsid w:val="2E141EF5"/>
    <w:rsid w:val="2E407C5C"/>
    <w:rsid w:val="2E496043"/>
    <w:rsid w:val="2E666BF4"/>
    <w:rsid w:val="2E8D4CFF"/>
    <w:rsid w:val="2EC12A8B"/>
    <w:rsid w:val="2EE07E46"/>
    <w:rsid w:val="2EF73BD8"/>
    <w:rsid w:val="2F314033"/>
    <w:rsid w:val="2FB0642A"/>
    <w:rsid w:val="2FC314F5"/>
    <w:rsid w:val="2FDD36B4"/>
    <w:rsid w:val="2FF130FC"/>
    <w:rsid w:val="30026754"/>
    <w:rsid w:val="30120339"/>
    <w:rsid w:val="30335F86"/>
    <w:rsid w:val="30444D13"/>
    <w:rsid w:val="305B0F39"/>
    <w:rsid w:val="309530B1"/>
    <w:rsid w:val="309C4E49"/>
    <w:rsid w:val="30B068E7"/>
    <w:rsid w:val="31093114"/>
    <w:rsid w:val="31422F43"/>
    <w:rsid w:val="3147152A"/>
    <w:rsid w:val="31D66DA0"/>
    <w:rsid w:val="31F2575D"/>
    <w:rsid w:val="32140715"/>
    <w:rsid w:val="32153EF4"/>
    <w:rsid w:val="323E2B7D"/>
    <w:rsid w:val="328F5FEE"/>
    <w:rsid w:val="3291418B"/>
    <w:rsid w:val="32967098"/>
    <w:rsid w:val="32AF2F2A"/>
    <w:rsid w:val="330E7F4A"/>
    <w:rsid w:val="3340798D"/>
    <w:rsid w:val="33866A3F"/>
    <w:rsid w:val="33F05B68"/>
    <w:rsid w:val="34297002"/>
    <w:rsid w:val="342D5ABF"/>
    <w:rsid w:val="34506070"/>
    <w:rsid w:val="347977C7"/>
    <w:rsid w:val="34D75EE1"/>
    <w:rsid w:val="34EC3BCC"/>
    <w:rsid w:val="34FF1DE5"/>
    <w:rsid w:val="35173BE4"/>
    <w:rsid w:val="35616006"/>
    <w:rsid w:val="356D705E"/>
    <w:rsid w:val="358A766C"/>
    <w:rsid w:val="358B0CEF"/>
    <w:rsid w:val="35B95A6D"/>
    <w:rsid w:val="35D65ABB"/>
    <w:rsid w:val="35DE6DB0"/>
    <w:rsid w:val="35F87A87"/>
    <w:rsid w:val="36077E0E"/>
    <w:rsid w:val="360867E3"/>
    <w:rsid w:val="36194C30"/>
    <w:rsid w:val="37051E26"/>
    <w:rsid w:val="37500DA8"/>
    <w:rsid w:val="3750651A"/>
    <w:rsid w:val="37642E8A"/>
    <w:rsid w:val="37941DC2"/>
    <w:rsid w:val="37BE35FD"/>
    <w:rsid w:val="382A2A41"/>
    <w:rsid w:val="384C7411"/>
    <w:rsid w:val="38666692"/>
    <w:rsid w:val="38970330"/>
    <w:rsid w:val="38A712A4"/>
    <w:rsid w:val="39050F24"/>
    <w:rsid w:val="393555D1"/>
    <w:rsid w:val="3960640E"/>
    <w:rsid w:val="396E7A6D"/>
    <w:rsid w:val="398C14D9"/>
    <w:rsid w:val="39A64349"/>
    <w:rsid w:val="39DC039E"/>
    <w:rsid w:val="39F64E62"/>
    <w:rsid w:val="3A5B15D7"/>
    <w:rsid w:val="3A5E6DB9"/>
    <w:rsid w:val="3A766411"/>
    <w:rsid w:val="3AF677DB"/>
    <w:rsid w:val="3B3662A8"/>
    <w:rsid w:val="3B516536"/>
    <w:rsid w:val="3B6C3786"/>
    <w:rsid w:val="3BD914D7"/>
    <w:rsid w:val="3BE661F5"/>
    <w:rsid w:val="3C0F3A50"/>
    <w:rsid w:val="3C247F47"/>
    <w:rsid w:val="3C4F1F70"/>
    <w:rsid w:val="3C5F4799"/>
    <w:rsid w:val="3C8555F6"/>
    <w:rsid w:val="3C9C7C85"/>
    <w:rsid w:val="3CCA02AE"/>
    <w:rsid w:val="3D084518"/>
    <w:rsid w:val="3D10497F"/>
    <w:rsid w:val="3D1B1858"/>
    <w:rsid w:val="3D370CB2"/>
    <w:rsid w:val="3D4C0F51"/>
    <w:rsid w:val="3D597924"/>
    <w:rsid w:val="3D6267D9"/>
    <w:rsid w:val="3D7A7FC6"/>
    <w:rsid w:val="3D902320"/>
    <w:rsid w:val="3D9170BE"/>
    <w:rsid w:val="3D98372E"/>
    <w:rsid w:val="3E001B4C"/>
    <w:rsid w:val="3E144053"/>
    <w:rsid w:val="3E636CAD"/>
    <w:rsid w:val="3EA51073"/>
    <w:rsid w:val="3EB24505"/>
    <w:rsid w:val="3EB63280"/>
    <w:rsid w:val="3F0E160B"/>
    <w:rsid w:val="3F5334CC"/>
    <w:rsid w:val="3F7540A9"/>
    <w:rsid w:val="3F7D3D9E"/>
    <w:rsid w:val="3F8C3168"/>
    <w:rsid w:val="3F964E60"/>
    <w:rsid w:val="3FAD1E78"/>
    <w:rsid w:val="400C03EE"/>
    <w:rsid w:val="400D35DD"/>
    <w:rsid w:val="40131EA2"/>
    <w:rsid w:val="40224945"/>
    <w:rsid w:val="40275B9F"/>
    <w:rsid w:val="40522CB0"/>
    <w:rsid w:val="407D3927"/>
    <w:rsid w:val="408E08DA"/>
    <w:rsid w:val="409C699B"/>
    <w:rsid w:val="40A342D6"/>
    <w:rsid w:val="40D95880"/>
    <w:rsid w:val="40E52FFB"/>
    <w:rsid w:val="41160006"/>
    <w:rsid w:val="41302EF7"/>
    <w:rsid w:val="4137309F"/>
    <w:rsid w:val="416132A3"/>
    <w:rsid w:val="418331C2"/>
    <w:rsid w:val="418446D3"/>
    <w:rsid w:val="419F573A"/>
    <w:rsid w:val="41B30B23"/>
    <w:rsid w:val="41DE4D7C"/>
    <w:rsid w:val="42332EAF"/>
    <w:rsid w:val="425C67C1"/>
    <w:rsid w:val="427E470B"/>
    <w:rsid w:val="42813BA5"/>
    <w:rsid w:val="42BE3C00"/>
    <w:rsid w:val="42F55BE4"/>
    <w:rsid w:val="432F56E3"/>
    <w:rsid w:val="43317379"/>
    <w:rsid w:val="43422A2A"/>
    <w:rsid w:val="437C1A49"/>
    <w:rsid w:val="43A50C73"/>
    <w:rsid w:val="43C20530"/>
    <w:rsid w:val="43CF1FCF"/>
    <w:rsid w:val="44215499"/>
    <w:rsid w:val="444A6219"/>
    <w:rsid w:val="44660A95"/>
    <w:rsid w:val="446C222A"/>
    <w:rsid w:val="447E348A"/>
    <w:rsid w:val="44A73083"/>
    <w:rsid w:val="44CE6AF4"/>
    <w:rsid w:val="44E83CAB"/>
    <w:rsid w:val="44FA2A40"/>
    <w:rsid w:val="45025565"/>
    <w:rsid w:val="454F2DE6"/>
    <w:rsid w:val="456443B5"/>
    <w:rsid w:val="45965BB9"/>
    <w:rsid w:val="459D2462"/>
    <w:rsid w:val="45B87574"/>
    <w:rsid w:val="45C42E27"/>
    <w:rsid w:val="460205D0"/>
    <w:rsid w:val="46033D49"/>
    <w:rsid w:val="460E2E2A"/>
    <w:rsid w:val="460E46E2"/>
    <w:rsid w:val="466C2476"/>
    <w:rsid w:val="467B6B5D"/>
    <w:rsid w:val="468E0172"/>
    <w:rsid w:val="46E6248D"/>
    <w:rsid w:val="4732554E"/>
    <w:rsid w:val="473B1BB4"/>
    <w:rsid w:val="47C528F9"/>
    <w:rsid w:val="47CA1B4A"/>
    <w:rsid w:val="480A5169"/>
    <w:rsid w:val="486A0C38"/>
    <w:rsid w:val="4888226A"/>
    <w:rsid w:val="48A15F02"/>
    <w:rsid w:val="48A6425E"/>
    <w:rsid w:val="48DA0948"/>
    <w:rsid w:val="490B0E42"/>
    <w:rsid w:val="495D54D0"/>
    <w:rsid w:val="49702C79"/>
    <w:rsid w:val="49731D6E"/>
    <w:rsid w:val="49926698"/>
    <w:rsid w:val="49BE428B"/>
    <w:rsid w:val="4A4C6847"/>
    <w:rsid w:val="4A657908"/>
    <w:rsid w:val="4A7162AD"/>
    <w:rsid w:val="4AAB2398"/>
    <w:rsid w:val="4ABE6253"/>
    <w:rsid w:val="4AC23D6E"/>
    <w:rsid w:val="4AF235CC"/>
    <w:rsid w:val="4B0215FB"/>
    <w:rsid w:val="4B442FC1"/>
    <w:rsid w:val="4B7002A4"/>
    <w:rsid w:val="4B8A1009"/>
    <w:rsid w:val="4BB24DCF"/>
    <w:rsid w:val="4BB87F0C"/>
    <w:rsid w:val="4BF379B8"/>
    <w:rsid w:val="4C0D3689"/>
    <w:rsid w:val="4C162204"/>
    <w:rsid w:val="4C1A57C4"/>
    <w:rsid w:val="4C214E7A"/>
    <w:rsid w:val="4C651D17"/>
    <w:rsid w:val="4C6A1EDD"/>
    <w:rsid w:val="4C8278AB"/>
    <w:rsid w:val="4CDD35A1"/>
    <w:rsid w:val="4CE54D31"/>
    <w:rsid w:val="4CF01620"/>
    <w:rsid w:val="4D3A0A70"/>
    <w:rsid w:val="4D4E0782"/>
    <w:rsid w:val="4D920D29"/>
    <w:rsid w:val="4DAE0C76"/>
    <w:rsid w:val="4E2210F0"/>
    <w:rsid w:val="4E564138"/>
    <w:rsid w:val="4E7224FF"/>
    <w:rsid w:val="4E940BC9"/>
    <w:rsid w:val="4EA546CA"/>
    <w:rsid w:val="4EBB0613"/>
    <w:rsid w:val="4F41638F"/>
    <w:rsid w:val="4F4C3838"/>
    <w:rsid w:val="4F747BAD"/>
    <w:rsid w:val="4FA85E62"/>
    <w:rsid w:val="4FC62822"/>
    <w:rsid w:val="5010098B"/>
    <w:rsid w:val="50532E10"/>
    <w:rsid w:val="50792360"/>
    <w:rsid w:val="50D41179"/>
    <w:rsid w:val="50D843A7"/>
    <w:rsid w:val="50E21CB3"/>
    <w:rsid w:val="510E10EA"/>
    <w:rsid w:val="518F3F34"/>
    <w:rsid w:val="51B3364F"/>
    <w:rsid w:val="52050E71"/>
    <w:rsid w:val="52190C01"/>
    <w:rsid w:val="525524D2"/>
    <w:rsid w:val="52AB2C49"/>
    <w:rsid w:val="53085901"/>
    <w:rsid w:val="53385317"/>
    <w:rsid w:val="534E105D"/>
    <w:rsid w:val="535B352B"/>
    <w:rsid w:val="53D42120"/>
    <w:rsid w:val="53F066AF"/>
    <w:rsid w:val="5429048E"/>
    <w:rsid w:val="54754BEC"/>
    <w:rsid w:val="54832199"/>
    <w:rsid w:val="54AB507D"/>
    <w:rsid w:val="54BB3647"/>
    <w:rsid w:val="54BF6EBD"/>
    <w:rsid w:val="55202DAA"/>
    <w:rsid w:val="55555D0B"/>
    <w:rsid w:val="5575399D"/>
    <w:rsid w:val="557F39B0"/>
    <w:rsid w:val="5583299D"/>
    <w:rsid w:val="55AD05A6"/>
    <w:rsid w:val="55BE25CB"/>
    <w:rsid w:val="55EE07E7"/>
    <w:rsid w:val="560E354A"/>
    <w:rsid w:val="56206FAA"/>
    <w:rsid w:val="562C718C"/>
    <w:rsid w:val="56B063AF"/>
    <w:rsid w:val="56C47F48"/>
    <w:rsid w:val="574C257C"/>
    <w:rsid w:val="579C37EF"/>
    <w:rsid w:val="57A350B4"/>
    <w:rsid w:val="57BE68AA"/>
    <w:rsid w:val="58055CB2"/>
    <w:rsid w:val="581035A9"/>
    <w:rsid w:val="58112593"/>
    <w:rsid w:val="582B612E"/>
    <w:rsid w:val="583F3E8F"/>
    <w:rsid w:val="588642CA"/>
    <w:rsid w:val="58C44394"/>
    <w:rsid w:val="58D902CD"/>
    <w:rsid w:val="58F109BE"/>
    <w:rsid w:val="58F54070"/>
    <w:rsid w:val="59123351"/>
    <w:rsid w:val="59170DBF"/>
    <w:rsid w:val="59362C15"/>
    <w:rsid w:val="596453A2"/>
    <w:rsid w:val="59695BBC"/>
    <w:rsid w:val="59704E92"/>
    <w:rsid w:val="59CF3E30"/>
    <w:rsid w:val="5A1924BD"/>
    <w:rsid w:val="5A3F4B41"/>
    <w:rsid w:val="5A61118A"/>
    <w:rsid w:val="5A643C96"/>
    <w:rsid w:val="5AC10003"/>
    <w:rsid w:val="5B2D4472"/>
    <w:rsid w:val="5B527A35"/>
    <w:rsid w:val="5B550D39"/>
    <w:rsid w:val="5C1D627E"/>
    <w:rsid w:val="5C3F7E95"/>
    <w:rsid w:val="5C423F4D"/>
    <w:rsid w:val="5C86166D"/>
    <w:rsid w:val="5C9347A9"/>
    <w:rsid w:val="5CCC6983"/>
    <w:rsid w:val="5CD66444"/>
    <w:rsid w:val="5CE552A4"/>
    <w:rsid w:val="5CEE743F"/>
    <w:rsid w:val="5D4B7617"/>
    <w:rsid w:val="5D677E57"/>
    <w:rsid w:val="5D6879E4"/>
    <w:rsid w:val="5D6D4FFA"/>
    <w:rsid w:val="5D700646"/>
    <w:rsid w:val="5D81218A"/>
    <w:rsid w:val="5DA32421"/>
    <w:rsid w:val="5DA75242"/>
    <w:rsid w:val="5DB01920"/>
    <w:rsid w:val="5DBD1726"/>
    <w:rsid w:val="5DC25463"/>
    <w:rsid w:val="5DD23127"/>
    <w:rsid w:val="5E80170C"/>
    <w:rsid w:val="5E960581"/>
    <w:rsid w:val="5EE27973"/>
    <w:rsid w:val="5F117C07"/>
    <w:rsid w:val="5F856E80"/>
    <w:rsid w:val="5FD4310E"/>
    <w:rsid w:val="5FE23518"/>
    <w:rsid w:val="603B5C7E"/>
    <w:rsid w:val="603E72EA"/>
    <w:rsid w:val="60883EF9"/>
    <w:rsid w:val="609D1752"/>
    <w:rsid w:val="609D605B"/>
    <w:rsid w:val="60A70823"/>
    <w:rsid w:val="60B151FE"/>
    <w:rsid w:val="60BB10FC"/>
    <w:rsid w:val="60FD0443"/>
    <w:rsid w:val="610B2058"/>
    <w:rsid w:val="61354081"/>
    <w:rsid w:val="614C3A43"/>
    <w:rsid w:val="6158634D"/>
    <w:rsid w:val="615D5386"/>
    <w:rsid w:val="61C3168D"/>
    <w:rsid w:val="620A5AE9"/>
    <w:rsid w:val="621B5B7D"/>
    <w:rsid w:val="621F3377"/>
    <w:rsid w:val="62383691"/>
    <w:rsid w:val="625378CF"/>
    <w:rsid w:val="628074C4"/>
    <w:rsid w:val="63100901"/>
    <w:rsid w:val="631F20B1"/>
    <w:rsid w:val="6372336A"/>
    <w:rsid w:val="637846F9"/>
    <w:rsid w:val="637B25C0"/>
    <w:rsid w:val="6400400E"/>
    <w:rsid w:val="641937E6"/>
    <w:rsid w:val="641F55AF"/>
    <w:rsid w:val="647C1FC7"/>
    <w:rsid w:val="647D460D"/>
    <w:rsid w:val="648F5856"/>
    <w:rsid w:val="64994927"/>
    <w:rsid w:val="64A038CF"/>
    <w:rsid w:val="64AC465A"/>
    <w:rsid w:val="650D479B"/>
    <w:rsid w:val="65235123"/>
    <w:rsid w:val="65301117"/>
    <w:rsid w:val="65420B1A"/>
    <w:rsid w:val="656E7B61"/>
    <w:rsid w:val="65EA3263"/>
    <w:rsid w:val="660364FC"/>
    <w:rsid w:val="664F2FC5"/>
    <w:rsid w:val="667639FC"/>
    <w:rsid w:val="667730F0"/>
    <w:rsid w:val="669059AE"/>
    <w:rsid w:val="66965157"/>
    <w:rsid w:val="66C451F9"/>
    <w:rsid w:val="66E57D35"/>
    <w:rsid w:val="67165693"/>
    <w:rsid w:val="6722719C"/>
    <w:rsid w:val="67BA2082"/>
    <w:rsid w:val="67C4566A"/>
    <w:rsid w:val="67DF4D07"/>
    <w:rsid w:val="67E02C18"/>
    <w:rsid w:val="67EC4451"/>
    <w:rsid w:val="67F721F9"/>
    <w:rsid w:val="68370F15"/>
    <w:rsid w:val="684A6107"/>
    <w:rsid w:val="68905A30"/>
    <w:rsid w:val="68D46178"/>
    <w:rsid w:val="68DB550E"/>
    <w:rsid w:val="69135488"/>
    <w:rsid w:val="691F503B"/>
    <w:rsid w:val="698218C6"/>
    <w:rsid w:val="69A65517"/>
    <w:rsid w:val="69A9345E"/>
    <w:rsid w:val="69FD42FD"/>
    <w:rsid w:val="6A1B36DD"/>
    <w:rsid w:val="6A735E97"/>
    <w:rsid w:val="6A944ECA"/>
    <w:rsid w:val="6AA81420"/>
    <w:rsid w:val="6AB705F4"/>
    <w:rsid w:val="6AF46435"/>
    <w:rsid w:val="6B181C86"/>
    <w:rsid w:val="6B7B1AB7"/>
    <w:rsid w:val="6BE91E33"/>
    <w:rsid w:val="6BEC348C"/>
    <w:rsid w:val="6C1257B3"/>
    <w:rsid w:val="6C1D5E3D"/>
    <w:rsid w:val="6C6F4534"/>
    <w:rsid w:val="6C831D0E"/>
    <w:rsid w:val="6CCD5461"/>
    <w:rsid w:val="6D070DF2"/>
    <w:rsid w:val="6D633D24"/>
    <w:rsid w:val="6D855A48"/>
    <w:rsid w:val="6E201C15"/>
    <w:rsid w:val="6E2A4841"/>
    <w:rsid w:val="6E342260"/>
    <w:rsid w:val="6E8D6652"/>
    <w:rsid w:val="6EA603A2"/>
    <w:rsid w:val="6EA87056"/>
    <w:rsid w:val="6F1E43A6"/>
    <w:rsid w:val="6F2A05BE"/>
    <w:rsid w:val="6F8004FD"/>
    <w:rsid w:val="6FBC433C"/>
    <w:rsid w:val="6FBE03FD"/>
    <w:rsid w:val="6FCF56A0"/>
    <w:rsid w:val="70253370"/>
    <w:rsid w:val="70375AA4"/>
    <w:rsid w:val="708446DD"/>
    <w:rsid w:val="70CD5F70"/>
    <w:rsid w:val="70CD76F1"/>
    <w:rsid w:val="70D0050F"/>
    <w:rsid w:val="70EF07F5"/>
    <w:rsid w:val="710235C4"/>
    <w:rsid w:val="71211AEC"/>
    <w:rsid w:val="71274ED1"/>
    <w:rsid w:val="712B5DE0"/>
    <w:rsid w:val="7187441D"/>
    <w:rsid w:val="71976D97"/>
    <w:rsid w:val="71E9117B"/>
    <w:rsid w:val="726453D0"/>
    <w:rsid w:val="72C016EC"/>
    <w:rsid w:val="72E40114"/>
    <w:rsid w:val="72E94CCB"/>
    <w:rsid w:val="73263829"/>
    <w:rsid w:val="732D1ACE"/>
    <w:rsid w:val="7343340A"/>
    <w:rsid w:val="735D4AFF"/>
    <w:rsid w:val="73B53324"/>
    <w:rsid w:val="73E21E46"/>
    <w:rsid w:val="74220495"/>
    <w:rsid w:val="744B75D1"/>
    <w:rsid w:val="744C72C0"/>
    <w:rsid w:val="745979D3"/>
    <w:rsid w:val="746E0B31"/>
    <w:rsid w:val="7483417D"/>
    <w:rsid w:val="74D61CE0"/>
    <w:rsid w:val="74E03EAC"/>
    <w:rsid w:val="74E219D2"/>
    <w:rsid w:val="74E4399C"/>
    <w:rsid w:val="7521698E"/>
    <w:rsid w:val="752640EC"/>
    <w:rsid w:val="752E4A2A"/>
    <w:rsid w:val="75482BDB"/>
    <w:rsid w:val="75524DAA"/>
    <w:rsid w:val="7583350A"/>
    <w:rsid w:val="75837CDD"/>
    <w:rsid w:val="758F487E"/>
    <w:rsid w:val="75A44ED9"/>
    <w:rsid w:val="75C40167"/>
    <w:rsid w:val="75DB7540"/>
    <w:rsid w:val="75DC0B17"/>
    <w:rsid w:val="75DE663D"/>
    <w:rsid w:val="764163FE"/>
    <w:rsid w:val="766F7295"/>
    <w:rsid w:val="76916357"/>
    <w:rsid w:val="76F532CA"/>
    <w:rsid w:val="7703093E"/>
    <w:rsid w:val="770C0C85"/>
    <w:rsid w:val="772423C2"/>
    <w:rsid w:val="7746449A"/>
    <w:rsid w:val="77470212"/>
    <w:rsid w:val="77F6436B"/>
    <w:rsid w:val="780D6D66"/>
    <w:rsid w:val="78142CE1"/>
    <w:rsid w:val="783E6339"/>
    <w:rsid w:val="7856611A"/>
    <w:rsid w:val="786833BA"/>
    <w:rsid w:val="788334CC"/>
    <w:rsid w:val="78C01ED1"/>
    <w:rsid w:val="78DE026F"/>
    <w:rsid w:val="791F31F5"/>
    <w:rsid w:val="79315644"/>
    <w:rsid w:val="796C3F60"/>
    <w:rsid w:val="79910D9C"/>
    <w:rsid w:val="799E1789"/>
    <w:rsid w:val="79BB0000"/>
    <w:rsid w:val="79E41D48"/>
    <w:rsid w:val="79F17EEF"/>
    <w:rsid w:val="7A123004"/>
    <w:rsid w:val="7A151099"/>
    <w:rsid w:val="7A1C5328"/>
    <w:rsid w:val="7A2B3E1B"/>
    <w:rsid w:val="7A3C1B84"/>
    <w:rsid w:val="7A4B5E1E"/>
    <w:rsid w:val="7A846824"/>
    <w:rsid w:val="7AB367C2"/>
    <w:rsid w:val="7ABC4A73"/>
    <w:rsid w:val="7BBA7205"/>
    <w:rsid w:val="7BE735F7"/>
    <w:rsid w:val="7BED7A62"/>
    <w:rsid w:val="7C0D0B01"/>
    <w:rsid w:val="7C1654AB"/>
    <w:rsid w:val="7C330D3C"/>
    <w:rsid w:val="7C695AEF"/>
    <w:rsid w:val="7CDD600A"/>
    <w:rsid w:val="7CE24C65"/>
    <w:rsid w:val="7D24527D"/>
    <w:rsid w:val="7D3356A4"/>
    <w:rsid w:val="7D3506FF"/>
    <w:rsid w:val="7D5507F9"/>
    <w:rsid w:val="7D6349FD"/>
    <w:rsid w:val="7DBF2109"/>
    <w:rsid w:val="7DF82266"/>
    <w:rsid w:val="7DFD4CFB"/>
    <w:rsid w:val="7E002EC9"/>
    <w:rsid w:val="7E4F6BCE"/>
    <w:rsid w:val="7EA128FE"/>
    <w:rsid w:val="7EB04F00"/>
    <w:rsid w:val="7EB9221A"/>
    <w:rsid w:val="7EBA3E51"/>
    <w:rsid w:val="7ED05BEE"/>
    <w:rsid w:val="7F0461A0"/>
    <w:rsid w:val="7F6C5701"/>
    <w:rsid w:val="7F721BA4"/>
    <w:rsid w:val="7F833DB1"/>
    <w:rsid w:val="7FEF7A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8E0DC7"/>
  <w15:docId w15:val="{A6E837EB-4C7A-4615-B3AD-A5822CEF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paragraph" w:styleId="1">
    <w:name w:val="heading 1"/>
    <w:basedOn w:val="aff2"/>
    <w:next w:val="aff2"/>
    <w:qFormat/>
    <w:pPr>
      <w:spacing w:beforeAutospacing="1" w:afterAutospacing="1"/>
      <w:jc w:val="left"/>
      <w:outlineLvl w:val="0"/>
    </w:pPr>
    <w:rPr>
      <w:rFonts w:ascii="宋体" w:hAnsi="宋体" w:hint="eastAsia"/>
      <w:b/>
      <w:bCs/>
      <w:kern w:val="44"/>
      <w:sz w:val="48"/>
      <w:szCs w:val="48"/>
    </w:rPr>
  </w:style>
  <w:style w:type="paragraph" w:styleId="3">
    <w:name w:val="heading 3"/>
    <w:basedOn w:val="aff2"/>
    <w:next w:val="aff2"/>
    <w:uiPriority w:val="9"/>
    <w:unhideWhenUsed/>
    <w:qFormat/>
    <w:pPr>
      <w:keepNext/>
      <w:keepLines/>
      <w:spacing w:before="260" w:after="260" w:line="416" w:lineRule="auto"/>
      <w:outlineLvl w:val="2"/>
    </w:pPr>
    <w:rPr>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link w:val="aff9"/>
    <w:semiHidden/>
    <w:unhideWhenUsed/>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a">
    <w:name w:val="endnote text"/>
    <w:basedOn w:val="aff2"/>
    <w:semiHidden/>
    <w:qFormat/>
    <w:pPr>
      <w:snapToGrid w:val="0"/>
      <w:jc w:val="left"/>
    </w:pPr>
  </w:style>
  <w:style w:type="paragraph" w:styleId="affb">
    <w:name w:val="Balloon Text"/>
    <w:basedOn w:val="aff2"/>
    <w:link w:val="affc"/>
    <w:qFormat/>
    <w:rPr>
      <w:sz w:val="18"/>
      <w:szCs w:val="18"/>
    </w:rPr>
  </w:style>
  <w:style w:type="paragraph" w:styleId="affd">
    <w:name w:val="footer"/>
    <w:basedOn w:val="aff2"/>
    <w:link w:val="affe"/>
    <w:uiPriority w:val="99"/>
    <w:qFormat/>
    <w:pPr>
      <w:snapToGrid w:val="0"/>
      <w:ind w:rightChars="100" w:right="210"/>
      <w:jc w:val="right"/>
    </w:pPr>
    <w:rPr>
      <w:sz w:val="18"/>
      <w:szCs w:val="18"/>
    </w:rPr>
  </w:style>
  <w:style w:type="paragraph" w:styleId="afff">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f0">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f1"/>
    <w:qFormat/>
    <w:pPr>
      <w:tabs>
        <w:tab w:val="right" w:leader="dot" w:pos="9299"/>
      </w:tabs>
      <w:jc w:val="left"/>
    </w:pPr>
    <w:rPr>
      <w:rFonts w:ascii="宋体"/>
      <w:szCs w:val="21"/>
    </w:rPr>
  </w:style>
  <w:style w:type="paragraph" w:customStyle="1" w:styleId="afff1">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uiPriority w:val="39"/>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f2">
    <w:name w:val="Normal (Web)"/>
    <w:basedOn w:val="aff2"/>
    <w:uiPriority w:val="99"/>
    <w:qFormat/>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pPr>
      <w:ind w:left="420" w:hanging="210"/>
      <w:jc w:val="left"/>
    </w:pPr>
    <w:rPr>
      <w:rFonts w:ascii="Calibri" w:hAnsi="Calibri"/>
      <w:sz w:val="20"/>
      <w:szCs w:val="20"/>
    </w:rPr>
  </w:style>
  <w:style w:type="paragraph" w:styleId="afff3">
    <w:name w:val="annotation subject"/>
    <w:basedOn w:val="aff8"/>
    <w:next w:val="aff8"/>
    <w:link w:val="afff4"/>
    <w:semiHidden/>
    <w:unhideWhenUsed/>
    <w:qFormat/>
    <w:rPr>
      <w:b/>
      <w:bCs/>
    </w:rPr>
  </w:style>
  <w:style w:type="table" w:styleId="afff5">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6">
    <w:name w:val="Strong"/>
    <w:basedOn w:val="aff3"/>
    <w:qFormat/>
    <w:rPr>
      <w:b/>
      <w:bCs/>
    </w:rPr>
  </w:style>
  <w:style w:type="character" w:styleId="afff7">
    <w:name w:val="endnote reference"/>
    <w:semiHidden/>
    <w:qFormat/>
    <w:rPr>
      <w:vertAlign w:val="superscript"/>
    </w:rPr>
  </w:style>
  <w:style w:type="character" w:styleId="afff8">
    <w:name w:val="page number"/>
    <w:qFormat/>
    <w:rPr>
      <w:rFonts w:ascii="Times New Roman" w:eastAsia="宋体" w:hAnsi="Times New Roman"/>
      <w:sz w:val="18"/>
    </w:rPr>
  </w:style>
  <w:style w:type="character" w:styleId="afff9">
    <w:name w:val="FollowedHyperlink"/>
    <w:qFormat/>
    <w:rPr>
      <w:color w:val="800080"/>
      <w:u w:val="single"/>
    </w:rPr>
  </w:style>
  <w:style w:type="character" w:styleId="afffa">
    <w:name w:val="Emphasis"/>
    <w:basedOn w:val="aff3"/>
    <w:qFormat/>
    <w:rPr>
      <w:i/>
    </w:rPr>
  </w:style>
  <w:style w:type="character" w:styleId="afffb">
    <w:name w:val="Hyperlink"/>
    <w:uiPriority w:val="99"/>
    <w:qFormat/>
    <w:rPr>
      <w:color w:val="0000FF"/>
      <w:spacing w:val="0"/>
      <w:w w:val="100"/>
      <w:szCs w:val="21"/>
      <w:u w:val="single"/>
    </w:rPr>
  </w:style>
  <w:style w:type="character" w:styleId="afffc">
    <w:name w:val="annotation reference"/>
    <w:basedOn w:val="aff3"/>
    <w:semiHidden/>
    <w:unhideWhenUsed/>
    <w:qFormat/>
    <w:rPr>
      <w:sz w:val="21"/>
      <w:szCs w:val="21"/>
    </w:rPr>
  </w:style>
  <w:style w:type="character" w:styleId="afffd">
    <w:name w:val="footnote reference"/>
    <w:semiHidden/>
    <w:qFormat/>
    <w:rPr>
      <w:vertAlign w:val="superscript"/>
    </w:rPr>
  </w:style>
  <w:style w:type="character" w:customStyle="1" w:styleId="Char">
    <w:name w:val="段 Char"/>
    <w:link w:val="afff1"/>
    <w:qFormat/>
    <w:rPr>
      <w:rFonts w:ascii="宋体"/>
      <w:sz w:val="21"/>
      <w:lang w:val="en-US" w:eastAsia="zh-CN" w:bidi="ar-SA"/>
    </w:rPr>
  </w:style>
  <w:style w:type="paragraph" w:customStyle="1" w:styleId="a2">
    <w:name w:val="一级条标题"/>
    <w:next w:val="afff1"/>
    <w:qFormat/>
    <w:pPr>
      <w:numPr>
        <w:ilvl w:val="1"/>
        <w:numId w:val="2"/>
      </w:numPr>
      <w:spacing w:beforeLines="50" w:afterLines="50"/>
      <w:outlineLvl w:val="2"/>
    </w:pPr>
    <w:rPr>
      <w:rFonts w:ascii="黑体" w:eastAsia="黑体"/>
      <w:sz w:val="21"/>
      <w:szCs w:val="21"/>
    </w:rPr>
  </w:style>
  <w:style w:type="paragraph" w:customStyle="1" w:styleId="afffe">
    <w:name w:val="标准书脚_奇数页"/>
    <w:qFormat/>
    <w:pPr>
      <w:spacing w:before="120"/>
      <w:ind w:right="198"/>
      <w:jc w:val="right"/>
    </w:pPr>
    <w:rPr>
      <w:rFonts w:ascii="宋体"/>
      <w:sz w:val="18"/>
      <w:szCs w:val="18"/>
    </w:rPr>
  </w:style>
  <w:style w:type="paragraph" w:customStyle="1" w:styleId="affff">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1">
    <w:name w:val="章标题"/>
    <w:next w:val="afff1"/>
    <w:qFormat/>
    <w:pPr>
      <w:numPr>
        <w:numId w:val="2"/>
      </w:numPr>
      <w:spacing w:beforeLines="100" w:afterLines="100"/>
      <w:jc w:val="both"/>
      <w:outlineLvl w:val="1"/>
    </w:pPr>
    <w:rPr>
      <w:rFonts w:ascii="黑体" w:eastAsia="黑体"/>
      <w:sz w:val="21"/>
    </w:rPr>
  </w:style>
  <w:style w:type="paragraph" w:customStyle="1" w:styleId="a3">
    <w:name w:val="二级条标题"/>
    <w:basedOn w:val="a2"/>
    <w:next w:val="afff1"/>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3"/>
      </w:numPr>
      <w:jc w:val="both"/>
    </w:pPr>
    <w:rPr>
      <w:rFonts w:ascii="宋体"/>
      <w:sz w:val="21"/>
    </w:rPr>
  </w:style>
  <w:style w:type="paragraph" w:customStyle="1" w:styleId="ac">
    <w:name w:val="列项●（二级）"/>
    <w:qFormat/>
    <w:pPr>
      <w:numPr>
        <w:ilvl w:val="1"/>
        <w:numId w:val="3"/>
      </w:numPr>
      <w:tabs>
        <w:tab w:val="left" w:pos="840"/>
      </w:tabs>
      <w:jc w:val="both"/>
    </w:pPr>
    <w:rPr>
      <w:rFonts w:ascii="宋体"/>
      <w:sz w:val="21"/>
    </w:rPr>
  </w:style>
  <w:style w:type="paragraph" w:customStyle="1" w:styleId="affff0">
    <w:name w:val="目次、标准名称标题"/>
    <w:basedOn w:val="aff2"/>
    <w:next w:val="afff1"/>
    <w:link w:val="Char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1"/>
    <w:qFormat/>
    <w:pPr>
      <w:numPr>
        <w:ilvl w:val="3"/>
      </w:numPr>
      <w:outlineLvl w:val="4"/>
    </w:pPr>
  </w:style>
  <w:style w:type="paragraph" w:customStyle="1" w:styleId="af6">
    <w:name w:val="示例"/>
    <w:next w:val="affff1"/>
    <w:qFormat/>
    <w:pPr>
      <w:widowControl w:val="0"/>
      <w:numPr>
        <w:numId w:val="4"/>
      </w:numPr>
      <w:jc w:val="both"/>
    </w:pPr>
    <w:rPr>
      <w:rFonts w:ascii="宋体"/>
      <w:sz w:val="18"/>
      <w:szCs w:val="18"/>
    </w:rPr>
  </w:style>
  <w:style w:type="paragraph" w:customStyle="1" w:styleId="affff1">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jc w:val="both"/>
    </w:pPr>
    <w:rPr>
      <w:rFonts w:ascii="宋体"/>
      <w:sz w:val="21"/>
    </w:rPr>
  </w:style>
  <w:style w:type="paragraph" w:customStyle="1" w:styleId="a5">
    <w:name w:val="四级条标题"/>
    <w:basedOn w:val="a4"/>
    <w:next w:val="afff1"/>
    <w:qFormat/>
    <w:pPr>
      <w:numPr>
        <w:ilvl w:val="4"/>
      </w:numPr>
      <w:outlineLvl w:val="5"/>
    </w:pPr>
  </w:style>
  <w:style w:type="paragraph" w:customStyle="1" w:styleId="a6">
    <w:name w:val="五级条标题"/>
    <w:basedOn w:val="a5"/>
    <w:next w:val="afff1"/>
    <w:qFormat/>
    <w:pPr>
      <w:numPr>
        <w:ilvl w:val="5"/>
      </w:numPr>
      <w:outlineLvl w:val="6"/>
    </w:pPr>
  </w:style>
  <w:style w:type="paragraph" w:customStyle="1" w:styleId="a0">
    <w:name w:val="注："/>
    <w:next w:val="afff1"/>
    <w:qFormat/>
    <w:pPr>
      <w:widowControl w:val="0"/>
      <w:numPr>
        <w:numId w:val="6"/>
      </w:numPr>
      <w:autoSpaceDE w:val="0"/>
      <w:autoSpaceDN w:val="0"/>
      <w:ind w:left="726" w:hanging="363"/>
      <w:jc w:val="both"/>
    </w:pPr>
    <w:rPr>
      <w:rFonts w:ascii="宋体"/>
      <w:sz w:val="18"/>
      <w:szCs w:val="18"/>
    </w:rPr>
  </w:style>
  <w:style w:type="paragraph" w:customStyle="1" w:styleId="af3">
    <w:name w:val="注×："/>
    <w:qFormat/>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pPr>
      <w:numPr>
        <w:numId w:val="5"/>
      </w:numPr>
      <w:jc w:val="both"/>
    </w:pPr>
    <w:rPr>
      <w:rFonts w:ascii="宋体"/>
      <w:sz w:val="21"/>
    </w:rPr>
  </w:style>
  <w:style w:type="paragraph" w:customStyle="1" w:styleId="ad">
    <w:name w:val="列项◆（三级）"/>
    <w:basedOn w:val="aff2"/>
    <w:qFormat/>
    <w:pPr>
      <w:numPr>
        <w:ilvl w:val="2"/>
        <w:numId w:val="3"/>
      </w:numPr>
    </w:pPr>
    <w:rPr>
      <w:rFonts w:ascii="宋体"/>
      <w:szCs w:val="21"/>
    </w:rPr>
  </w:style>
  <w:style w:type="paragraph" w:customStyle="1" w:styleId="af1">
    <w:name w:val="编号列项（三级）"/>
    <w:qFormat/>
    <w:pPr>
      <w:numPr>
        <w:ilvl w:val="2"/>
        <w:numId w:val="5"/>
      </w:numPr>
    </w:pPr>
    <w:rPr>
      <w:rFonts w:ascii="宋体"/>
      <w:sz w:val="21"/>
    </w:rPr>
  </w:style>
  <w:style w:type="paragraph" w:customStyle="1" w:styleId="aff">
    <w:name w:val="示例×："/>
    <w:basedOn w:val="a1"/>
    <w:qFormat/>
    <w:pPr>
      <w:numPr>
        <w:numId w:val="8"/>
      </w:numPr>
      <w:spacing w:beforeLines="0" w:afterLines="0"/>
      <w:outlineLvl w:val="9"/>
    </w:pPr>
    <w:rPr>
      <w:rFonts w:ascii="宋体" w:eastAsia="宋体"/>
      <w:sz w:val="18"/>
      <w:szCs w:val="18"/>
    </w:rPr>
  </w:style>
  <w:style w:type="paragraph" w:customStyle="1" w:styleId="affff2">
    <w:name w:val="二级无"/>
    <w:basedOn w:val="a3"/>
    <w:qFormat/>
    <w:pPr>
      <w:spacing w:beforeLines="0" w:afterLines="0"/>
    </w:pPr>
    <w:rPr>
      <w:rFonts w:ascii="宋体" w:eastAsia="宋体"/>
    </w:rPr>
  </w:style>
  <w:style w:type="paragraph" w:customStyle="1" w:styleId="a8">
    <w:name w:val="注：（正文）"/>
    <w:basedOn w:val="a0"/>
    <w:next w:val="afff1"/>
    <w:qFormat/>
    <w:pPr>
      <w:numPr>
        <w:numId w:val="9"/>
      </w:numPr>
      <w:ind w:left="726" w:hanging="363"/>
    </w:pPr>
  </w:style>
  <w:style w:type="paragraph" w:customStyle="1" w:styleId="a">
    <w:name w:val="注×：（正文）"/>
    <w:qFormat/>
    <w:pPr>
      <w:numPr>
        <w:numId w:val="10"/>
      </w:numPr>
      <w:ind w:left="811" w:hanging="448"/>
      <w:jc w:val="both"/>
    </w:pPr>
    <w:rPr>
      <w:rFonts w:ascii="宋体"/>
      <w:sz w:val="18"/>
      <w:szCs w:val="18"/>
    </w:rPr>
  </w:style>
  <w:style w:type="paragraph" w:customStyle="1" w:styleId="affff3">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4">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5">
    <w:name w:val="标准书脚_偶数页"/>
    <w:qFormat/>
    <w:pPr>
      <w:spacing w:before="120"/>
      <w:ind w:left="221"/>
    </w:pPr>
    <w:rPr>
      <w:rFonts w:ascii="宋体"/>
      <w:sz w:val="18"/>
      <w:szCs w:val="18"/>
    </w:rPr>
  </w:style>
  <w:style w:type="paragraph" w:customStyle="1" w:styleId="affff6">
    <w:name w:val="标准书眉_偶数页"/>
    <w:basedOn w:val="affff"/>
    <w:next w:val="aff2"/>
    <w:qFormat/>
    <w:pPr>
      <w:jc w:val="left"/>
    </w:pPr>
  </w:style>
  <w:style w:type="paragraph" w:customStyle="1" w:styleId="affff7">
    <w:name w:val="标准书眉一"/>
    <w:qFormat/>
    <w:pPr>
      <w:jc w:val="both"/>
    </w:pPr>
  </w:style>
  <w:style w:type="paragraph" w:customStyle="1" w:styleId="affff8">
    <w:name w:val="参考文献"/>
    <w:basedOn w:val="aff2"/>
    <w:next w:val="aff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9">
    <w:name w:val="参考文献、索引标题"/>
    <w:basedOn w:val="aff2"/>
    <w:next w:val="afff1"/>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a">
    <w:name w:val="发布"/>
    <w:qFormat/>
    <w:rPr>
      <w:rFonts w:ascii="黑体" w:eastAsia="黑体"/>
      <w:spacing w:val="85"/>
      <w:w w:val="100"/>
      <w:position w:val="3"/>
      <w:sz w:val="28"/>
      <w:szCs w:val="28"/>
    </w:rPr>
  </w:style>
  <w:style w:type="paragraph" w:customStyle="1" w:styleId="affffb">
    <w:name w:val="发布部门"/>
    <w:next w:val="afff1"/>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c">
    <w:name w:val="发布日期"/>
    <w:qFormat/>
    <w:pPr>
      <w:framePr w:w="3997" w:h="471" w:hRule="exact" w:vSpace="181" w:wrap="around" w:hAnchor="page" w:x="7089" w:y="14097" w:anchorLock="1"/>
    </w:pPr>
    <w:rPr>
      <w:rFonts w:eastAsia="黑体"/>
      <w:sz w:val="28"/>
    </w:rPr>
  </w:style>
  <w:style w:type="paragraph" w:customStyle="1" w:styleId="affffd">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
    <w:name w:val="封面标准英文名称"/>
    <w:basedOn w:val="affffe"/>
    <w:qFormat/>
    <w:pPr>
      <w:framePr w:wrap="around"/>
      <w:spacing w:before="370" w:line="400" w:lineRule="exact"/>
    </w:pPr>
    <w:rPr>
      <w:rFonts w:ascii="Times New Roman"/>
      <w:sz w:val="28"/>
      <w:szCs w:val="28"/>
    </w:rPr>
  </w:style>
  <w:style w:type="paragraph" w:customStyle="1" w:styleId="afffff0">
    <w:name w:val="封面一致性程度标识"/>
    <w:basedOn w:val="afffff"/>
    <w:qFormat/>
    <w:pPr>
      <w:framePr w:wrap="around"/>
      <w:spacing w:before="440"/>
    </w:pPr>
    <w:rPr>
      <w:rFonts w:ascii="宋体" w:eastAsia="宋体"/>
    </w:rPr>
  </w:style>
  <w:style w:type="paragraph" w:customStyle="1" w:styleId="afffff1">
    <w:name w:val="封面标准文稿类别"/>
    <w:basedOn w:val="afffff0"/>
    <w:qFormat/>
    <w:pPr>
      <w:framePr w:wrap="around"/>
      <w:spacing w:after="160" w:line="240" w:lineRule="auto"/>
    </w:pPr>
    <w:rPr>
      <w:sz w:val="24"/>
    </w:rPr>
  </w:style>
  <w:style w:type="paragraph" w:customStyle="1" w:styleId="afffff2">
    <w:name w:val="封面标准文稿编辑信息"/>
    <w:basedOn w:val="afffff1"/>
    <w:qFormat/>
    <w:pPr>
      <w:framePr w:wrap="around"/>
      <w:spacing w:before="180" w:line="180" w:lineRule="exact"/>
    </w:pPr>
    <w:rPr>
      <w:sz w:val="21"/>
    </w:rPr>
  </w:style>
  <w:style w:type="paragraph" w:customStyle="1" w:styleId="afffff3">
    <w:name w:val="封面正文"/>
    <w:qFormat/>
    <w:pPr>
      <w:jc w:val="both"/>
    </w:pPr>
  </w:style>
  <w:style w:type="paragraph" w:customStyle="1" w:styleId="af8">
    <w:name w:val="附录标识"/>
    <w:basedOn w:val="aff2"/>
    <w:next w:val="afff1"/>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4">
    <w:name w:val="附录标题"/>
    <w:basedOn w:val="afff1"/>
    <w:next w:val="afff1"/>
    <w:qFormat/>
    <w:pPr>
      <w:ind w:firstLineChars="0" w:firstLine="0"/>
      <w:jc w:val="center"/>
    </w:pPr>
    <w:rPr>
      <w:rFonts w:ascii="黑体" w:eastAsia="黑体"/>
    </w:rPr>
  </w:style>
  <w:style w:type="paragraph" w:customStyle="1" w:styleId="af4">
    <w:name w:val="附录表标号"/>
    <w:basedOn w:val="aff2"/>
    <w:next w:val="afff1"/>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f1"/>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1"/>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5">
    <w:name w:val="附录二级无"/>
    <w:basedOn w:val="afb"/>
    <w:qFormat/>
    <w:pPr>
      <w:tabs>
        <w:tab w:val="clear" w:pos="360"/>
      </w:tabs>
      <w:spacing w:beforeLines="0" w:afterLines="0"/>
    </w:pPr>
    <w:rPr>
      <w:rFonts w:ascii="宋体" w:eastAsia="宋体"/>
      <w:szCs w:val="21"/>
    </w:rPr>
  </w:style>
  <w:style w:type="paragraph" w:customStyle="1" w:styleId="afffff6">
    <w:name w:val="附录公式"/>
    <w:basedOn w:val="afff1"/>
    <w:next w:val="afff1"/>
    <w:link w:val="Char1"/>
    <w:qFormat/>
  </w:style>
  <w:style w:type="character" w:customStyle="1" w:styleId="Char1">
    <w:name w:val="附录公式 Char"/>
    <w:basedOn w:val="Char"/>
    <w:link w:val="afffff6"/>
    <w:qFormat/>
    <w:rPr>
      <w:rFonts w:ascii="宋体"/>
      <w:sz w:val="21"/>
      <w:lang w:val="en-US" w:eastAsia="zh-CN" w:bidi="ar-SA"/>
    </w:rPr>
  </w:style>
  <w:style w:type="paragraph" w:customStyle="1" w:styleId="afffff7">
    <w:name w:val="附录公式编号制表符"/>
    <w:basedOn w:val="aff2"/>
    <w:next w:val="afff1"/>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1"/>
    <w:qFormat/>
    <w:pPr>
      <w:numPr>
        <w:ilvl w:val="4"/>
      </w:numPr>
      <w:outlineLvl w:val="4"/>
    </w:pPr>
  </w:style>
  <w:style w:type="paragraph" w:customStyle="1" w:styleId="afffff8">
    <w:name w:val="附录三级无"/>
    <w:basedOn w:val="afc"/>
    <w:qFormat/>
    <w:pPr>
      <w:tabs>
        <w:tab w:val="clear" w:pos="360"/>
      </w:tabs>
      <w:spacing w:beforeLines="0" w:afterLines="0"/>
    </w:pPr>
    <w:rPr>
      <w:rFonts w:ascii="宋体" w:eastAsia="宋体"/>
      <w:szCs w:val="21"/>
    </w:rPr>
  </w:style>
  <w:style w:type="paragraph" w:customStyle="1" w:styleId="aff1">
    <w:name w:val="附录数字编号列项（二级）"/>
    <w:qFormat/>
    <w:pPr>
      <w:numPr>
        <w:ilvl w:val="1"/>
        <w:numId w:val="13"/>
      </w:numPr>
      <w:tabs>
        <w:tab w:val="clear" w:pos="840"/>
        <w:tab w:val="left" w:pos="839"/>
      </w:tabs>
    </w:pPr>
    <w:rPr>
      <w:rFonts w:ascii="宋体"/>
      <w:sz w:val="21"/>
    </w:rPr>
  </w:style>
  <w:style w:type="paragraph" w:customStyle="1" w:styleId="afd">
    <w:name w:val="附录四级条标题"/>
    <w:basedOn w:val="afc"/>
    <w:next w:val="afff1"/>
    <w:qFormat/>
    <w:pPr>
      <w:numPr>
        <w:ilvl w:val="5"/>
      </w:numPr>
      <w:outlineLvl w:val="5"/>
    </w:pPr>
  </w:style>
  <w:style w:type="paragraph" w:customStyle="1" w:styleId="afffff9">
    <w:name w:val="附录四级无"/>
    <w:basedOn w:val="afd"/>
    <w:qFormat/>
    <w:pPr>
      <w:tabs>
        <w:tab w:val="clear" w:pos="360"/>
      </w:tabs>
      <w:spacing w:beforeLines="0" w:afterLines="0"/>
    </w:pPr>
    <w:rPr>
      <w:rFonts w:ascii="宋体" w:eastAsia="宋体"/>
      <w:szCs w:val="21"/>
    </w:rPr>
  </w:style>
  <w:style w:type="paragraph" w:customStyle="1" w:styleId="a9">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f1"/>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1"/>
    <w:qFormat/>
    <w:pPr>
      <w:numPr>
        <w:ilvl w:val="6"/>
      </w:numPr>
      <w:outlineLvl w:val="6"/>
    </w:pPr>
  </w:style>
  <w:style w:type="paragraph" w:customStyle="1" w:styleId="afffffa">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1"/>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1"/>
    <w:qFormat/>
    <w:pPr>
      <w:numPr>
        <w:ilvl w:val="2"/>
      </w:numPr>
      <w:autoSpaceDN w:val="0"/>
      <w:spacing w:beforeLines="50" w:afterLines="50"/>
      <w:outlineLvl w:val="2"/>
    </w:pPr>
  </w:style>
  <w:style w:type="paragraph" w:customStyle="1" w:styleId="afffffb">
    <w:name w:val="附录一级无"/>
    <w:basedOn w:val="afa"/>
    <w:qFormat/>
    <w:pPr>
      <w:tabs>
        <w:tab w:val="clear" w:pos="360"/>
      </w:tabs>
      <w:spacing w:beforeLines="0" w:afterLines="0"/>
    </w:pPr>
    <w:rPr>
      <w:rFonts w:ascii="宋体" w:eastAsia="宋体"/>
      <w:szCs w:val="21"/>
    </w:rPr>
  </w:style>
  <w:style w:type="paragraph" w:customStyle="1" w:styleId="aff0">
    <w:name w:val="附录字母编号列项（一级）"/>
    <w:qFormat/>
    <w:pPr>
      <w:numPr>
        <w:numId w:val="13"/>
      </w:numPr>
    </w:pPr>
    <w:rPr>
      <w:rFonts w:ascii="宋体"/>
      <w:sz w:val="21"/>
    </w:rPr>
  </w:style>
  <w:style w:type="paragraph" w:customStyle="1" w:styleId="afffffc">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列项说明数字编号"/>
    <w:qFormat/>
    <w:pPr>
      <w:ind w:leftChars="400" w:left="600" w:hangingChars="200" w:hanging="200"/>
    </w:pPr>
    <w:rPr>
      <w:rFonts w:ascii="宋体"/>
      <w:sz w:val="21"/>
    </w:rPr>
  </w:style>
  <w:style w:type="paragraph" w:customStyle="1" w:styleId="afffffe">
    <w:name w:val="目次、索引正文"/>
    <w:qFormat/>
    <w:pPr>
      <w:spacing w:line="320" w:lineRule="exact"/>
      <w:jc w:val="both"/>
    </w:pPr>
    <w:rPr>
      <w:rFonts w:ascii="宋体"/>
      <w:sz w:val="21"/>
    </w:rPr>
  </w:style>
  <w:style w:type="paragraph" w:customStyle="1" w:styleId="affffff">
    <w:name w:val="其他标准标志"/>
    <w:basedOn w:val="affff3"/>
    <w:qFormat/>
    <w:pPr>
      <w:framePr w:w="6101" w:wrap="around" w:vAnchor="page" w:hAnchor="page" w:x="4673" w:y="942"/>
    </w:pPr>
    <w:rPr>
      <w:w w:val="130"/>
    </w:rPr>
  </w:style>
  <w:style w:type="paragraph" w:customStyle="1" w:styleId="affffff0">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1">
    <w:name w:val="其他发布部门"/>
    <w:basedOn w:val="affffb"/>
    <w:qFormat/>
    <w:pPr>
      <w:framePr w:wrap="around" w:y="15310"/>
      <w:spacing w:line="0" w:lineRule="atLeast"/>
    </w:pPr>
    <w:rPr>
      <w:rFonts w:ascii="黑体" w:eastAsia="黑体"/>
      <w:b w:val="0"/>
    </w:rPr>
  </w:style>
  <w:style w:type="paragraph" w:customStyle="1" w:styleId="affffff2">
    <w:name w:val="前言、引言标题"/>
    <w:next w:val="afff1"/>
    <w:qFormat/>
    <w:pPr>
      <w:keepNext/>
      <w:pageBreakBefore/>
      <w:shd w:val="clear" w:color="FFFFFF" w:fill="FFFFFF"/>
      <w:spacing w:before="640" w:after="560"/>
      <w:jc w:val="center"/>
      <w:outlineLvl w:val="0"/>
    </w:pPr>
    <w:rPr>
      <w:rFonts w:ascii="黑体" w:eastAsia="黑体"/>
      <w:sz w:val="32"/>
    </w:rPr>
  </w:style>
  <w:style w:type="paragraph" w:customStyle="1" w:styleId="affffff3">
    <w:name w:val="三级无"/>
    <w:basedOn w:val="a4"/>
    <w:qFormat/>
    <w:pPr>
      <w:spacing w:beforeLines="0" w:afterLines="0"/>
    </w:pPr>
    <w:rPr>
      <w:rFonts w:ascii="宋体" w:eastAsia="宋体"/>
    </w:rPr>
  </w:style>
  <w:style w:type="paragraph" w:customStyle="1" w:styleId="affffff4">
    <w:name w:val="实施日期"/>
    <w:qFormat/>
    <w:pPr>
      <w:framePr w:w="3997" w:h="471" w:hRule="exact" w:vSpace="181" w:wrap="around" w:vAnchor="page" w:hAnchor="page" w:x="7089" w:y="14097"/>
      <w:jc w:val="right"/>
    </w:pPr>
    <w:rPr>
      <w:rFonts w:eastAsia="黑体"/>
      <w:sz w:val="28"/>
    </w:rPr>
  </w:style>
  <w:style w:type="paragraph" w:customStyle="1" w:styleId="affffff5">
    <w:name w:val="示例后文字"/>
    <w:basedOn w:val="afff1"/>
    <w:next w:val="afff1"/>
    <w:qFormat/>
    <w:pPr>
      <w:ind w:firstLine="360"/>
    </w:pPr>
    <w:rPr>
      <w:sz w:val="18"/>
    </w:rPr>
  </w:style>
  <w:style w:type="paragraph" w:customStyle="1" w:styleId="affffff6">
    <w:name w:val="首示例"/>
    <w:next w:val="afff1"/>
    <w:link w:val="Char2"/>
    <w:qFormat/>
    <w:pPr>
      <w:tabs>
        <w:tab w:val="left" w:pos="360"/>
      </w:tabs>
    </w:pPr>
    <w:rPr>
      <w:rFonts w:ascii="宋体" w:hAnsi="宋体"/>
      <w:kern w:val="2"/>
      <w:sz w:val="18"/>
      <w:szCs w:val="18"/>
    </w:rPr>
  </w:style>
  <w:style w:type="character" w:customStyle="1" w:styleId="Char2">
    <w:name w:val="首示例 Char"/>
    <w:link w:val="affffff6"/>
    <w:qFormat/>
    <w:rPr>
      <w:rFonts w:ascii="宋体" w:hAnsi="宋体"/>
      <w:kern w:val="2"/>
      <w:sz w:val="18"/>
      <w:szCs w:val="18"/>
    </w:rPr>
  </w:style>
  <w:style w:type="paragraph" w:customStyle="1" w:styleId="affffff7">
    <w:name w:val="四级无"/>
    <w:basedOn w:val="a5"/>
    <w:qFormat/>
    <w:pPr>
      <w:spacing w:beforeLines="0" w:afterLines="0"/>
    </w:pPr>
    <w:rPr>
      <w:rFonts w:ascii="宋体" w:eastAsia="宋体"/>
    </w:rPr>
  </w:style>
  <w:style w:type="paragraph" w:customStyle="1" w:styleId="affffff8">
    <w:name w:val="条文脚注"/>
    <w:basedOn w:val="ae"/>
    <w:qFormat/>
    <w:pPr>
      <w:numPr>
        <w:numId w:val="0"/>
      </w:numPr>
      <w:jc w:val="both"/>
    </w:pPr>
  </w:style>
  <w:style w:type="paragraph" w:customStyle="1" w:styleId="affffff9">
    <w:name w:val="图标脚注说明"/>
    <w:basedOn w:val="afff1"/>
    <w:qFormat/>
    <w:pPr>
      <w:ind w:left="840" w:firstLineChars="0" w:hanging="420"/>
    </w:pPr>
    <w:rPr>
      <w:sz w:val="18"/>
      <w:szCs w:val="18"/>
    </w:rPr>
  </w:style>
  <w:style w:type="paragraph" w:customStyle="1" w:styleId="a7">
    <w:name w:val="图表脚注说明"/>
    <w:basedOn w:val="aff2"/>
    <w:qFormat/>
    <w:pPr>
      <w:numPr>
        <w:numId w:val="15"/>
      </w:numPr>
    </w:pPr>
    <w:rPr>
      <w:rFonts w:ascii="宋体"/>
      <w:sz w:val="18"/>
      <w:szCs w:val="18"/>
    </w:rPr>
  </w:style>
  <w:style w:type="paragraph" w:customStyle="1" w:styleId="affffffa">
    <w:name w:val="图的脚注"/>
    <w:next w:val="afff1"/>
    <w:qFormat/>
    <w:pPr>
      <w:widowControl w:val="0"/>
      <w:ind w:leftChars="200" w:left="840" w:hangingChars="200" w:hanging="420"/>
      <w:jc w:val="both"/>
    </w:pPr>
    <w:rPr>
      <w:rFonts w:ascii="宋体"/>
      <w:sz w:val="18"/>
    </w:rPr>
  </w:style>
  <w:style w:type="paragraph" w:customStyle="1" w:styleId="affffffb">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c">
    <w:name w:val="五级无"/>
    <w:basedOn w:val="a6"/>
    <w:qFormat/>
    <w:pPr>
      <w:spacing w:beforeLines="0" w:afterLines="0"/>
    </w:pPr>
    <w:rPr>
      <w:rFonts w:ascii="宋体" w:eastAsia="宋体"/>
    </w:rPr>
  </w:style>
  <w:style w:type="paragraph" w:customStyle="1" w:styleId="affffffd">
    <w:name w:val="一级无"/>
    <w:basedOn w:val="a2"/>
    <w:qFormat/>
    <w:pPr>
      <w:spacing w:beforeLines="0" w:afterLines="0"/>
    </w:pPr>
    <w:rPr>
      <w:rFonts w:ascii="宋体" w:eastAsia="宋体"/>
    </w:rPr>
  </w:style>
  <w:style w:type="paragraph" w:customStyle="1" w:styleId="af7">
    <w:name w:val="正文表标题"/>
    <w:next w:val="afff1"/>
    <w:qFormat/>
    <w:pPr>
      <w:numPr>
        <w:numId w:val="16"/>
      </w:numPr>
      <w:spacing w:beforeLines="50" w:afterLines="50"/>
      <w:jc w:val="center"/>
    </w:pPr>
    <w:rPr>
      <w:rFonts w:ascii="黑体" w:eastAsia="黑体"/>
      <w:sz w:val="21"/>
    </w:rPr>
  </w:style>
  <w:style w:type="paragraph" w:customStyle="1" w:styleId="affffffe">
    <w:name w:val="正文公式编号制表符"/>
    <w:basedOn w:val="afff1"/>
    <w:next w:val="afff1"/>
    <w:qFormat/>
    <w:pPr>
      <w:ind w:firstLineChars="0" w:firstLine="0"/>
    </w:pPr>
  </w:style>
  <w:style w:type="paragraph" w:customStyle="1" w:styleId="af2">
    <w:name w:val="正文图标题"/>
    <w:next w:val="afff1"/>
    <w:qFormat/>
    <w:pPr>
      <w:numPr>
        <w:numId w:val="17"/>
      </w:numPr>
      <w:spacing w:beforeLines="50" w:afterLines="50"/>
      <w:jc w:val="center"/>
    </w:pPr>
    <w:rPr>
      <w:rFonts w:ascii="黑体" w:eastAsia="黑体"/>
      <w:sz w:val="21"/>
    </w:rPr>
  </w:style>
  <w:style w:type="paragraph" w:customStyle="1" w:styleId="afffffff">
    <w:name w:val="终结线"/>
    <w:basedOn w:val="aff2"/>
    <w:qFormat/>
    <w:pPr>
      <w:framePr w:hSpace="181" w:vSpace="181" w:wrap="around" w:vAnchor="text" w:hAnchor="margin" w:xAlign="center" w:y="285"/>
    </w:pPr>
  </w:style>
  <w:style w:type="paragraph" w:customStyle="1" w:styleId="afffffff0">
    <w:name w:val="其他发布日期"/>
    <w:qFormat/>
    <w:pPr>
      <w:framePr w:w="3997" w:h="471" w:hRule="exact" w:vSpace="181" w:wrap="around" w:vAnchor="page" w:hAnchor="page" w:x="1419" w:y="14097" w:anchorLock="1"/>
    </w:pPr>
    <w:rPr>
      <w:rFonts w:eastAsia="黑体"/>
      <w:sz w:val="28"/>
    </w:rPr>
  </w:style>
  <w:style w:type="paragraph" w:customStyle="1" w:styleId="afffffff1">
    <w:name w:val="其他实施日期"/>
    <w:basedOn w:val="affffff4"/>
    <w:qFormat/>
    <w:pPr>
      <w:framePr w:wrap="around"/>
    </w:pPr>
  </w:style>
  <w:style w:type="paragraph" w:customStyle="1" w:styleId="21">
    <w:name w:val="封面标准名称2"/>
    <w:basedOn w:val="affffe"/>
    <w:qFormat/>
    <w:pPr>
      <w:framePr w:wrap="around" w:y="4469"/>
      <w:spacing w:beforeLines="630"/>
    </w:pPr>
  </w:style>
  <w:style w:type="paragraph" w:customStyle="1" w:styleId="22">
    <w:name w:val="封面标准英文名称2"/>
    <w:basedOn w:val="afffff"/>
    <w:qFormat/>
    <w:pPr>
      <w:framePr w:wrap="around" w:y="4469"/>
    </w:pPr>
  </w:style>
  <w:style w:type="paragraph" w:customStyle="1" w:styleId="23">
    <w:name w:val="封面一致性程度标识2"/>
    <w:basedOn w:val="afffff0"/>
    <w:qFormat/>
    <w:pPr>
      <w:framePr w:wrap="around" w:y="4469"/>
    </w:pPr>
  </w:style>
  <w:style w:type="paragraph" w:customStyle="1" w:styleId="24">
    <w:name w:val="封面标准文稿类别2"/>
    <w:basedOn w:val="afffff1"/>
    <w:qFormat/>
    <w:pPr>
      <w:framePr w:wrap="around" w:y="4469"/>
    </w:pPr>
  </w:style>
  <w:style w:type="paragraph" w:customStyle="1" w:styleId="25">
    <w:name w:val="封面标准文稿编辑信息2"/>
    <w:basedOn w:val="afffff2"/>
    <w:qFormat/>
    <w:pPr>
      <w:framePr w:wrap="around" w:y="4469"/>
    </w:pPr>
  </w:style>
  <w:style w:type="paragraph" w:customStyle="1" w:styleId="afffffff2">
    <w:name w:val="标准名称"/>
    <w:basedOn w:val="affff0"/>
    <w:link w:val="Char3"/>
    <w:qFormat/>
  </w:style>
  <w:style w:type="character" w:styleId="afffffff3">
    <w:name w:val="Placeholder Text"/>
    <w:basedOn w:val="aff3"/>
    <w:uiPriority w:val="99"/>
    <w:semiHidden/>
    <w:qFormat/>
    <w:rPr>
      <w:color w:val="808080"/>
    </w:rPr>
  </w:style>
  <w:style w:type="character" w:customStyle="1" w:styleId="Char0">
    <w:name w:val="目次、标准名称标题 Char"/>
    <w:basedOn w:val="aff3"/>
    <w:link w:val="affff0"/>
    <w:qFormat/>
    <w:rPr>
      <w:rFonts w:ascii="黑体" w:eastAsia="黑体"/>
      <w:sz w:val="32"/>
      <w:shd w:val="clear" w:color="FFFFFF" w:fill="FFFFFF"/>
    </w:rPr>
  </w:style>
  <w:style w:type="character" w:customStyle="1" w:styleId="Char3">
    <w:name w:val="标准名称 Char"/>
    <w:basedOn w:val="Char0"/>
    <w:link w:val="afffffff2"/>
    <w:qFormat/>
    <w:rPr>
      <w:rFonts w:ascii="黑体" w:eastAsia="黑体"/>
      <w:sz w:val="32"/>
      <w:shd w:val="clear" w:color="FFFFFF" w:fill="FFFFFF"/>
    </w:rPr>
  </w:style>
  <w:style w:type="character" w:customStyle="1" w:styleId="affc">
    <w:name w:val="批注框文本 字符"/>
    <w:basedOn w:val="aff3"/>
    <w:link w:val="affb"/>
    <w:qFormat/>
    <w:rPr>
      <w:kern w:val="2"/>
      <w:sz w:val="18"/>
      <w:szCs w:val="18"/>
    </w:rPr>
  </w:style>
  <w:style w:type="character" w:customStyle="1" w:styleId="12">
    <w:name w:val="未处理的提及1"/>
    <w:basedOn w:val="aff3"/>
    <w:uiPriority w:val="99"/>
    <w:semiHidden/>
    <w:unhideWhenUsed/>
    <w:qFormat/>
    <w:rPr>
      <w:color w:val="605E5C"/>
      <w:shd w:val="clear" w:color="auto" w:fill="E1DFDD"/>
    </w:rPr>
  </w:style>
  <w:style w:type="table" w:customStyle="1" w:styleId="110">
    <w:name w:val="网格型11"/>
    <w:basedOn w:val="aff4"/>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批注文字 字符"/>
    <w:basedOn w:val="aff3"/>
    <w:link w:val="aff8"/>
    <w:semiHidden/>
    <w:qFormat/>
    <w:rPr>
      <w:kern w:val="2"/>
      <w:sz w:val="21"/>
      <w:szCs w:val="24"/>
    </w:rPr>
  </w:style>
  <w:style w:type="character" w:customStyle="1" w:styleId="afff4">
    <w:name w:val="批注主题 字符"/>
    <w:basedOn w:val="aff9"/>
    <w:link w:val="afff3"/>
    <w:semiHidden/>
    <w:qFormat/>
    <w:rPr>
      <w:b/>
      <w:bCs/>
      <w:kern w:val="2"/>
      <w:sz w:val="21"/>
      <w:szCs w:val="24"/>
    </w:rPr>
  </w:style>
  <w:style w:type="paragraph" w:customStyle="1" w:styleId="13">
    <w:name w:val="修订1"/>
    <w:hidden/>
    <w:uiPriority w:val="99"/>
    <w:semiHidden/>
    <w:qFormat/>
    <w:rPr>
      <w:kern w:val="2"/>
      <w:sz w:val="21"/>
      <w:szCs w:val="24"/>
    </w:rPr>
  </w:style>
  <w:style w:type="character" w:customStyle="1" w:styleId="tdbold1">
    <w:name w:val="td_bold1"/>
    <w:uiPriority w:val="99"/>
    <w:qFormat/>
    <w:rPr>
      <w:rFonts w:ascii="宋体" w:eastAsia="宋体" w:hAnsi="宋体" w:cs="宋体"/>
      <w:b/>
      <w:bCs/>
      <w:sz w:val="30"/>
      <w:szCs w:val="30"/>
    </w:rPr>
  </w:style>
  <w:style w:type="paragraph" w:styleId="afffffff4">
    <w:name w:val="List Paragraph"/>
    <w:basedOn w:val="aff2"/>
    <w:uiPriority w:val="99"/>
    <w:unhideWhenUsed/>
    <w:qFormat/>
    <w:pPr>
      <w:ind w:firstLineChars="200" w:firstLine="420"/>
    </w:pPr>
  </w:style>
  <w:style w:type="character" w:customStyle="1" w:styleId="affe">
    <w:name w:val="页脚 字符"/>
    <w:basedOn w:val="aff3"/>
    <w:link w:val="affd"/>
    <w:uiPriority w:val="99"/>
    <w:qFormat/>
    <w:rPr>
      <w:kern w:val="2"/>
      <w:sz w:val="18"/>
      <w:szCs w:val="18"/>
    </w:rPr>
  </w:style>
  <w:style w:type="paragraph" w:customStyle="1" w:styleId="26">
    <w:name w:val="修订2"/>
    <w:hidden/>
    <w:uiPriority w:val="99"/>
    <w:semiHidden/>
    <w:qFormat/>
    <w:rPr>
      <w:kern w:val="2"/>
      <w:sz w:val="21"/>
      <w:szCs w:val="24"/>
    </w:rPr>
  </w:style>
  <w:style w:type="paragraph" w:customStyle="1" w:styleId="TOC10">
    <w:name w:val="TOC 标题1"/>
    <w:basedOn w:val="1"/>
    <w:next w:val="aff2"/>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so.com/s?q=%E8%B4%A8%E9%87%8F%E8%A6%81%E6%B1%82&amp;ie=utf-8&amp;src=internal_wenda_recommend_textn"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
        <w:category>
          <w:name w:val="常规"/>
          <w:gallery w:val="placeholder"/>
        </w:category>
        <w:types>
          <w:type w:val="bbPlcHdr"/>
        </w:types>
        <w:behaviors>
          <w:behavior w:val="content"/>
        </w:behaviors>
        <w:guid w:val="{028989F2-0355-49D4-BDA6-4D56B5D374C0}"/>
      </w:docPartPr>
      <w:docPartBody>
        <w:p w:rsidR="0041333E" w:rsidRDefault="00000000">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3A"/>
    <w:rsid w:val="0002647A"/>
    <w:rsid w:val="0002653F"/>
    <w:rsid w:val="00080DE3"/>
    <w:rsid w:val="00087E40"/>
    <w:rsid w:val="000C73CF"/>
    <w:rsid w:val="000D2926"/>
    <w:rsid w:val="001132F9"/>
    <w:rsid w:val="00114ABC"/>
    <w:rsid w:val="001572BD"/>
    <w:rsid w:val="00172DFB"/>
    <w:rsid w:val="001924A0"/>
    <w:rsid w:val="001A434B"/>
    <w:rsid w:val="001C16E0"/>
    <w:rsid w:val="002068C7"/>
    <w:rsid w:val="00221C90"/>
    <w:rsid w:val="00252C91"/>
    <w:rsid w:val="00310FB1"/>
    <w:rsid w:val="00323E80"/>
    <w:rsid w:val="003372E5"/>
    <w:rsid w:val="003750AF"/>
    <w:rsid w:val="00382462"/>
    <w:rsid w:val="003910FE"/>
    <w:rsid w:val="00397346"/>
    <w:rsid w:val="0041333E"/>
    <w:rsid w:val="00430F92"/>
    <w:rsid w:val="004522D0"/>
    <w:rsid w:val="004957DC"/>
    <w:rsid w:val="004F113A"/>
    <w:rsid w:val="004F1EC5"/>
    <w:rsid w:val="00515A81"/>
    <w:rsid w:val="005335DD"/>
    <w:rsid w:val="00563654"/>
    <w:rsid w:val="00595E09"/>
    <w:rsid w:val="005C1A4C"/>
    <w:rsid w:val="005E0C3B"/>
    <w:rsid w:val="00600D9D"/>
    <w:rsid w:val="00654447"/>
    <w:rsid w:val="00663C3D"/>
    <w:rsid w:val="00674FBA"/>
    <w:rsid w:val="006D02E4"/>
    <w:rsid w:val="006E1A1F"/>
    <w:rsid w:val="007216E9"/>
    <w:rsid w:val="007C6ACB"/>
    <w:rsid w:val="007E2797"/>
    <w:rsid w:val="00800293"/>
    <w:rsid w:val="00820E7E"/>
    <w:rsid w:val="008516DE"/>
    <w:rsid w:val="00873B7C"/>
    <w:rsid w:val="008E024D"/>
    <w:rsid w:val="008F0268"/>
    <w:rsid w:val="00902EF8"/>
    <w:rsid w:val="009619F0"/>
    <w:rsid w:val="00982DAC"/>
    <w:rsid w:val="009B16B1"/>
    <w:rsid w:val="009F539E"/>
    <w:rsid w:val="00A2223B"/>
    <w:rsid w:val="00A94E45"/>
    <w:rsid w:val="00AD6808"/>
    <w:rsid w:val="00B42764"/>
    <w:rsid w:val="00B717AC"/>
    <w:rsid w:val="00BC67AA"/>
    <w:rsid w:val="00C326B9"/>
    <w:rsid w:val="00C5517C"/>
    <w:rsid w:val="00C73AC8"/>
    <w:rsid w:val="00C875D2"/>
    <w:rsid w:val="00CB0B2B"/>
    <w:rsid w:val="00D4454B"/>
    <w:rsid w:val="00D65DD7"/>
    <w:rsid w:val="00D90FFE"/>
    <w:rsid w:val="00DA4409"/>
    <w:rsid w:val="00DC381C"/>
    <w:rsid w:val="00DE0E60"/>
    <w:rsid w:val="00DE6826"/>
    <w:rsid w:val="00E41D54"/>
    <w:rsid w:val="00E95A08"/>
    <w:rsid w:val="00EA15BD"/>
    <w:rsid w:val="00EA32AC"/>
    <w:rsid w:val="00ED75B6"/>
    <w:rsid w:val="00EF36BA"/>
    <w:rsid w:val="00F1539B"/>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112">
    <w:name w:val="1112"/>
    <w:qFormat/>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56CE2-8562-8644-A74C-A1C81E98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2697</Words>
  <Characters>15377</Characters>
  <Application>Microsoft Office Word</Application>
  <DocSecurity>0</DocSecurity>
  <Lines>128</Lines>
  <Paragraphs>36</Paragraphs>
  <ScaleCrop>false</ScaleCrop>
  <Company>zle</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429784942@qq.com</cp:lastModifiedBy>
  <cp:revision>2</cp:revision>
  <cp:lastPrinted>2022-02-15T00:56:00Z</cp:lastPrinted>
  <dcterms:created xsi:type="dcterms:W3CDTF">2023-07-04T02:24:00Z</dcterms:created>
  <dcterms:modified xsi:type="dcterms:W3CDTF">2023-07-04T02:24:00Z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25319325A0E34010AAC4B40629F84E70</vt:lpwstr>
  </property>
</Properties>
</file>