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5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房地产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从业机构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反洗钱工作管理办法</w:t>
      </w:r>
    </w:p>
    <w:p w14:paraId="1666BEFE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textAlignment w:val="auto"/>
        <w:outlineLvl w:val="9"/>
        <w:rPr>
          <w:rFonts w:hint="eastAsia" w:ascii="楷体_GB2312" w:hAnsi="宋体" w:eastAsia="楷体_GB2312" w:cs="宋体"/>
          <w:color w:val="000000"/>
          <w:spacing w:val="0"/>
          <w:sz w:val="32"/>
          <w:szCs w:val="32"/>
          <w:lang w:val="zh-CN" w:bidi="zh-CN"/>
        </w:rPr>
      </w:pPr>
    </w:p>
    <w:p w14:paraId="0ECF0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总则</w:t>
      </w:r>
    </w:p>
    <w:p w14:paraId="1F30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为了预防洗钱和恐怖融资（以下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称洗钱）活动，遏制洗钱及相关犯罪，加强和规范房地产从业机构反洗钱和反恐怖融资（以下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称反洗钱）工作，根据《中华人民共和国反洗钱法》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《中华人民共和国反恐怖主义法》等法律法规，制定本办法。</w:t>
      </w:r>
    </w:p>
    <w:p w14:paraId="0E52F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在中华人民共和国境内依法设立，提供房屋销售、房屋买卖经纪服务的房地产开发企业或者房地产中介机构（以下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从业机构），应当依据本办法规定履行反洗钱义务。</w:t>
      </w:r>
    </w:p>
    <w:p w14:paraId="3ADAD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住房城乡建设部会同中国人民银行制定房地产从业机构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反洗钱管理规定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，对全国房地产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行业反洗钱工作进行监督管理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12A7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房地产从业机构履行反洗钱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，指导房地产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行业自律组织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反洗钱自律管理，处理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中国人民银行及其派出机构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提出的反洗钱监督管理建议，履行法律和国务院规定的有关反洗钱其他职责。</w:t>
      </w:r>
    </w:p>
    <w:p w14:paraId="6E24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6"/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中国房地产估价师与房地产经纪人学会、中国房地产业协会以及地方有关房地产行业自律组织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，依法开展房地产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反洗钱自律管理。</w:t>
      </w:r>
    </w:p>
    <w:p w14:paraId="4124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房地产行业反洗钱监督管理应当遵循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基于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风险原则，在有效识别行业和从业机构洗钱风险状况的基础上，对不同洗钱风险的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从业机构确定与风险相匹配的监管措施。</w:t>
      </w:r>
    </w:p>
    <w:p w14:paraId="2A8F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房地产从业机构应当依法履行反洗钱义务，接受反洗钱监督管理和自律管理，配合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中国人民银行及其派出机构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反洗钱调查。</w:t>
      </w:r>
    </w:p>
    <w:p w14:paraId="4718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房地产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从业机构及其工作人员不得从事洗钱活动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或者为洗钱活动提供便利。</w:t>
      </w:r>
    </w:p>
    <w:p w14:paraId="4D92E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Style w:val="6"/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对依法履行反洗钱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义务获得的客户身份资料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交易信息</w:t>
      </w:r>
      <w:bookmarkStart w:id="0" w:name="_Hlk86253201"/>
      <w:r>
        <w:rPr>
          <w:rFonts w:hint="eastAsia" w:ascii="仿宋_GB2312" w:hAnsi="仿宋_GB2312" w:eastAsia="仿宋_GB2312" w:cs="仿宋_GB2312"/>
          <w:sz w:val="32"/>
          <w:szCs w:val="32"/>
        </w:rPr>
        <w:t>、反洗钱调查信息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反洗钱信息，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应当予以保密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非依法律规定，不得向任何单位和个人提供。</w:t>
      </w:r>
    </w:p>
    <w:p w14:paraId="197FA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七</w:t>
      </w:r>
      <w:r>
        <w:rPr>
          <w:rStyle w:val="6"/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房地产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从业机构及其工作人员因履行反洗钱义务，在境内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依法处理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客户身份资料、交易及相关信息，开展提交可疑交易报告等工作，受法律保护。</w:t>
      </w:r>
    </w:p>
    <w:p w14:paraId="54E17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</w:p>
    <w:p w14:paraId="07F96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第二章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反洗钱义务</w:t>
      </w:r>
    </w:p>
    <w:p w14:paraId="0B2AE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房地产从业机构应当充分考虑面临的洗钱风险，依法采取预防、监控措施，建立健全反洗钱内部控制制度，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指定内设机构或者人员负责反洗钱工作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9BA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房地产从业机构应当采取合理措施定期识别、评估本机构面临的洗钱风险，并根据风险评估结果，制定和采取适当的洗钱风险管理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和措施，持续监控其执行情况。</w:t>
      </w:r>
    </w:p>
    <w:p w14:paraId="61993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开发企业向客户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销售房屋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房地产中介机构为客户买卖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经纪服务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有合理理由怀疑客户及其交易涉嫌洗钱活动的，应当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通过以下措施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身份信息及其交易目的：</w:t>
      </w:r>
    </w:p>
    <w:p w14:paraId="7655A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查验自然人提供的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居民身份证、护照或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其他来源可靠、独立的身份证明材料；留存客户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的复印件、影印件；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询问并记录其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交易目的。</w:t>
      </w:r>
    </w:p>
    <w:p w14:paraId="1A30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法人和非法人组织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其他来源可靠、独立的身份证明材料；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识别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客户受益所有人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留存客户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的复印件、影印件；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询问并记录其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交易目的。</w:t>
      </w:r>
    </w:p>
    <w:p w14:paraId="3BABFF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代理人代办业务的，应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身份信息及其交易目的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查验并留存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证明材料和代理关系证明材料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E22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房地产开发企业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在与客户签订房屋买卖合同前，房地产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中介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机构应当在撮合客户签订房屋买卖合同前的合理期限内完成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前款规定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3C95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身份不明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提供经纪服务。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拒不配合提供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信息的，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可以拒绝向其销售房屋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经纪服务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，并根据情况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向中国反洗钱监测分析中心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提交可疑交易报告。</w:t>
      </w:r>
    </w:p>
    <w:p w14:paraId="4626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房地产从业机构应当采取妥善措施，完整、准确地保存获取的客户身份资料和交易记录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2A29D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房地产从业机构发现或者有合理理由怀疑客户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拟进行的房屋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交易与洗钱等犯罪活动相关的，应当及时向中国反洗钱监测分析中心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可疑交易报告。</w:t>
      </w:r>
    </w:p>
    <w:p w14:paraId="41B4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可疑交易报告的格式和填报要求，由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中国反洗钱监测分析中心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另行规定。</w:t>
      </w:r>
    </w:p>
    <w:p w14:paraId="45D96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下列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名单所列对象采取反洗钱特别预防措施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FA3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（一）国家反恐怖主义工作领导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u w:val="none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认定并由其办公室公告的恐怖活动组织和人员名单；</w:t>
      </w:r>
    </w:p>
    <w:p w14:paraId="214C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（二）外交部发布的执行联合国安理会决议通知中涉及恐怖融资、大规模杀伤性武器扩散融资定向金融制裁的组织和人员名单；</w:t>
      </w:r>
    </w:p>
    <w:p w14:paraId="4F2F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（三）中国人民银行认定或者会同国家有关机关认定的，具有重大洗钱风险、不采取措施可能造成严重后果的组织和人员名单。</w:t>
      </w:r>
    </w:p>
    <w:p w14:paraId="0AB4C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经核查发现名单所列对象及其代理人、受其指使的组织和人员、其直接或者间接控制的组织的，应当立即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停止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向其销售房屋或者提供经纪服务，并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依法向相关部门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报告。</w:t>
      </w:r>
    </w:p>
    <w:p w14:paraId="5421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积极配合行业主管部门或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自律组织做好反洗钱社会宣传，参加行业主管部门或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自律组织举办的反洗钱培训，对本机构管理人员和员工持续开展反洗钱培训。</w:t>
      </w:r>
    </w:p>
    <w:p w14:paraId="59529E12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房地产从业机构应当根据洗钱风险状况，合理确定反洗钱内部审计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检查工作内容，或者在内部审计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检查、社会审计中包含与洗钱风险管理需求相适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的内容，监督反洗钱内部控制制度的有效实施。</w:t>
      </w:r>
    </w:p>
    <w:p w14:paraId="657B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D50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第三章  反洗钱监督管理</w:t>
      </w:r>
    </w:p>
    <w:p w14:paraId="662C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对房地产从业机构履行反洗钱义务的情况实施监督检查。住房城乡建设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门进行监督检查时，应当避免或者尽量减少对房地产从业机构正常生产经营活动的影响。</w:t>
      </w:r>
    </w:p>
    <w:p w14:paraId="76B0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中国人民银行及其派出机构与同级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建立工作沟通联系机制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的反洗钱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协助。</w:t>
      </w:r>
    </w:p>
    <w:p w14:paraId="3E94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中国房地产估价师与房地产经纪人学会、中国房地产业协会在住房城乡建设部的指导下，承担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行业反洗钱自律管理职责，包括：</w:t>
      </w:r>
    </w:p>
    <w:p w14:paraId="0E5BC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从业机构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反洗钱自律管理规范及工作指引；</w:t>
      </w:r>
    </w:p>
    <w:p w14:paraId="2E897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（二）识别与评估房地产行业洗钱和恐怖融资风险，发布风险提示并采取与风险相匹配的措施；</w:t>
      </w:r>
    </w:p>
    <w:p w14:paraId="664D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（三）指导从业机构遵守反洗钱法律法规及自律规范，提升行业合规意识和风险防控能力；</w:t>
      </w:r>
    </w:p>
    <w:p w14:paraId="66D6F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（四）协调组织从业机构报送可疑交易报告；</w:t>
      </w:r>
    </w:p>
    <w:p w14:paraId="1DED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）对从业机构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实施反洗钱自律管理，对违反本办法和自律规范的从业机构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进行惩戒；</w:t>
      </w:r>
    </w:p>
    <w:p w14:paraId="05820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）开展房地产行业反洗钱研究、培训和宣传；</w:t>
      </w:r>
    </w:p>
    <w:p w14:paraId="75DC4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）向住房城乡建设部反映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，提出政策建议；</w:t>
      </w:r>
    </w:p>
    <w:p w14:paraId="06215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）指导、协调地方有关房地产行业自律组织开展当地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反洗钱</w:t>
      </w:r>
      <w:r>
        <w:rPr>
          <w:rFonts w:hint="eastAsia" w:ascii="仿宋_GB2312" w:hAnsi="仿宋_GB2312" w:eastAsia="仿宋_GB2312" w:cs="仿宋_GB2312"/>
          <w:sz w:val="32"/>
          <w:szCs w:val="32"/>
        </w:rPr>
        <w:t>自律管理工作；</w:t>
      </w:r>
    </w:p>
    <w:p w14:paraId="41D6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）住房城乡建设部授权履行的其他自律管理职责。</w:t>
      </w:r>
    </w:p>
    <w:p w14:paraId="3E797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地方有关房地产行业自律组织在所在地住房城乡建设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部门的指导下，承担本地区房地产行业反洗钱自律管理职责。</w:t>
      </w:r>
    </w:p>
    <w:p w14:paraId="4C160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房地产行业自律组织合理运用以下措施，对从业机构实行反洗钱自律管理：</w:t>
      </w:r>
    </w:p>
    <w:p w14:paraId="6829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（一）要求从业机构定期或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不定期报告反洗钱工作情况，持续监测从业机构洗钱风险状况；</w:t>
      </w:r>
    </w:p>
    <w:p w14:paraId="492D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（二）遵循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基于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风险原则，对从业机构履行反洗钱义务情况实施自律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4B0B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（三）向风险较为突出或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反洗钱工作存在违规问题的从业机构提出改正意见；</w:t>
      </w:r>
    </w:p>
    <w:p w14:paraId="601E5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理对从业机构反洗钱工作的投诉或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举报；</w:t>
      </w:r>
    </w:p>
    <w:p w14:paraId="794D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（五）加强从业机构入会资格审核，关注从业机构及其主要股东、受益所有人、高级管理人员是否涉及洗钱及相关犯罪活动；</w:t>
      </w:r>
    </w:p>
    <w:p w14:paraId="3962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（六）对经查实存在违法违规行为的从业机构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采取自律惩戒措施；</w:t>
      </w:r>
    </w:p>
    <w:p w14:paraId="14E4A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（七）根据反洗钱自律管理需要或者经住房城乡建设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部门授权、委托采取其他相关措施。</w:t>
      </w:r>
    </w:p>
    <w:p w14:paraId="6A8C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房地产行业自律组织发现从业机构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违反本办法有关规定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、应予行政处罚的，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及时报告所在地住房城乡建设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部门。</w:t>
      </w:r>
    </w:p>
    <w:p w14:paraId="3394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十条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部门在有效识别房地产行业洗钱风险状况的基础上，可合理确定对不同类型或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风险等级房地产从业机构的监督管理措施及频率。对高风险的从业机构采取强化的监管措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施，对低风险的从业机构可采取简化的监管措施。</w:t>
      </w:r>
    </w:p>
    <w:p w14:paraId="1E73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F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第四章  法律责任</w:t>
      </w:r>
    </w:p>
    <w:p w14:paraId="75671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的，由所在地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县级以上地方人民政府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依照《中华人民共和国反洗钱法》第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的规定予以处罚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违反《中华人民共和国反恐怖主义法》等有关法律的，依照有关法律的规定处理。</w:t>
      </w:r>
    </w:p>
    <w:p w14:paraId="55282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房地产从业机构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房地产行业反洗钱自律规范的，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由房地产行业自律组织予以自律惩戒。</w:t>
      </w:r>
    </w:p>
    <w:p w14:paraId="2F3EA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中国人民银行及其派出机构、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房地产行业自律组织相关工作人员违反本办法有关规定的，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依法追究法律责任。</w:t>
      </w:r>
    </w:p>
    <w:p w14:paraId="241AB7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1D55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第五章  附则</w:t>
      </w:r>
    </w:p>
    <w:p w14:paraId="62373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本办法由住房城乡建设部会同中国人民银行解释。</w:t>
      </w:r>
    </w:p>
    <w:p w14:paraId="74204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前有关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房地产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行业反洗钱规定与本办法不一致的，按照本办法执行。</w:t>
      </w:r>
    </w:p>
    <w:p w14:paraId="417CDD59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65DD4C-73EB-4B3A-8BA8-144C7DD8A169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18B32D-D58A-480C-90A2-F5646D75031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718B12-EAB9-4EBE-971D-A1B79C81E8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72C5E5-5759-4827-91CA-E8E4A0DEC1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3DFCCA3-8300-4C4F-A7F7-327B26118C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9E051">
    <w:pPr>
      <w:pStyle w:val="3"/>
      <w:jc w:val="center"/>
      <w:rPr>
        <w:rFonts w:hint="eastAsia"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t>1</w:t>
    </w:r>
    <w:r>
      <w:rPr>
        <w:rFonts w:ascii="宋体" w:hAnsi="宋体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57FC4"/>
    <w:multiLevelType w:val="singleLevel"/>
    <w:tmpl w:val="E6A57FC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annotation reference"/>
    <w:qFormat/>
    <w:uiPriority w:val="99"/>
    <w:rPr>
      <w:sz w:val="21"/>
      <w:szCs w:val="21"/>
    </w:rPr>
  </w:style>
  <w:style w:type="paragraph" w:customStyle="1" w:styleId="7">
    <w:name w:val="Body text|2"/>
    <w:basedOn w:val="1"/>
    <w:qFormat/>
    <w:uiPriority w:val="0"/>
    <w:pPr>
      <w:shd w:val="clear" w:color="auto" w:fill="FFFFFF"/>
      <w:spacing w:before="500" w:after="2060" w:line="300" w:lineRule="exact"/>
      <w:ind w:hanging="860"/>
      <w:jc w:val="center"/>
    </w:pPr>
    <w:rPr>
      <w:rFonts w:ascii="PMingLiU" w:hAnsi="PMingLiU" w:eastAsia="PMingLiU" w:cs="PMingLiU"/>
      <w:spacing w:val="30"/>
      <w:sz w:val="30"/>
      <w:szCs w:val="30"/>
    </w:rPr>
  </w:style>
  <w:style w:type="paragraph" w:customStyle="1" w:styleId="8">
    <w:name w:val="Plain Text1"/>
    <w:basedOn w:val="1"/>
    <w:next w:val="1"/>
    <w:qFormat/>
    <w:uiPriority w:val="0"/>
    <w:rPr>
      <w:rFonts w:ascii="宋体" w:hAnsi="Courier New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2025-08-25T08:21:32Z</dcterms:created>
  <dc:creator>yanglinyi</dc:creator>
  <cp:lastModifiedBy>tinykerman</cp:lastModifiedBy>
  <dcterms:modified xsi:type="dcterms:W3CDTF">2025-08-25T08:21:45Z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eyJoZGlkIjoiYjkxZDFiOTYwY2FkZGZkNDgxMzdmMWNlMjJhODM1NGIiLCJ1c2VySWQiOiIyNDQ5ODgwNDMifQ==</vt:lpwstr>
  </property>
  <property fmtid="{D5CDD505-2E9C-101B-9397-08002B2CF9AE}" pid="4" name="ICV">
    <vt:lpwstr>055223D31F684DDA8E3E12EAC061133F_12</vt:lpwstr>
  </property>
</Properties>
</file>